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0FDB" w:rsidRDefault="00CC0FDB">
      <w:pPr>
        <w:widowControl/>
        <w:jc w:val="left"/>
        <w:rPr>
          <w:rFonts w:eastAsia="黑体"/>
          <w:kern w:val="0"/>
          <w:sz w:val="32"/>
          <w:szCs w:val="32"/>
        </w:rPr>
      </w:pPr>
      <w:r>
        <w:rPr>
          <w:rFonts w:eastAsia="黑体" w:hint="eastAsia"/>
          <w:kern w:val="0"/>
          <w:sz w:val="32"/>
          <w:szCs w:val="32"/>
        </w:rPr>
        <w:t>附件</w:t>
      </w:r>
      <w:r>
        <w:rPr>
          <w:rFonts w:eastAsia="黑体"/>
          <w:kern w:val="0"/>
          <w:sz w:val="32"/>
          <w:szCs w:val="32"/>
        </w:rPr>
        <w:t>1</w:t>
      </w:r>
    </w:p>
    <w:p w:rsidR="00CC0FDB" w:rsidRDefault="00CC0FDB">
      <w:pPr>
        <w:widowControl/>
        <w:jc w:val="center"/>
        <w:rPr>
          <w:b/>
          <w:bCs/>
          <w:kern w:val="0"/>
          <w:sz w:val="44"/>
          <w:szCs w:val="44"/>
        </w:rPr>
      </w:pPr>
      <w:r>
        <w:rPr>
          <w:rFonts w:hint="eastAsia"/>
          <w:b/>
          <w:bCs/>
          <w:kern w:val="0"/>
          <w:sz w:val="44"/>
          <w:szCs w:val="44"/>
        </w:rPr>
        <w:t>全国勘察设计注册工程师报考条件</w:t>
      </w:r>
    </w:p>
    <w:p w:rsidR="00CC0FDB" w:rsidRDefault="00CC0FDB" w:rsidP="009F27D3">
      <w:pPr>
        <w:spacing w:line="540" w:lineRule="exact"/>
        <w:ind w:firstLineChars="200" w:firstLine="3168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1</w:t>
      </w:r>
      <w:r>
        <w:rPr>
          <w:rFonts w:eastAsia="仿宋" w:hint="eastAsia"/>
          <w:sz w:val="32"/>
          <w:szCs w:val="32"/>
        </w:rPr>
        <w:t>、</w:t>
      </w:r>
      <w:r>
        <w:rPr>
          <w:rFonts w:eastAsia="仿宋"/>
          <w:sz w:val="32"/>
          <w:szCs w:val="32"/>
        </w:rPr>
        <w:t>2019</w:t>
      </w:r>
      <w:r>
        <w:rPr>
          <w:rFonts w:eastAsia="仿宋" w:hint="eastAsia"/>
          <w:sz w:val="32"/>
          <w:szCs w:val="32"/>
        </w:rPr>
        <w:t>年度勘察设计注册工程师资格考试报考条件可登录</w:t>
      </w:r>
      <w:bookmarkStart w:id="0" w:name="_Hlt387410498"/>
      <w:bookmarkStart w:id="1" w:name="_Hlt387410499"/>
      <w:r>
        <w:rPr>
          <w:rFonts w:eastAsia="仿宋" w:hint="eastAsia"/>
          <w:sz w:val="32"/>
          <w:szCs w:val="32"/>
        </w:rPr>
        <w:t>住房和城乡建设部执业资格注册中心官网</w:t>
      </w:r>
      <w:bookmarkEnd w:id="0"/>
      <w:bookmarkEnd w:id="1"/>
      <w:r>
        <w:rPr>
          <w:rFonts w:eastAsia="仿宋" w:hint="eastAsia"/>
          <w:sz w:val="32"/>
          <w:szCs w:val="32"/>
        </w:rPr>
        <w:t>（</w:t>
      </w:r>
      <w:hyperlink r:id="rId6" w:history="1">
        <w:r>
          <w:rPr>
            <w:rStyle w:val="Hyperlink"/>
            <w:rFonts w:eastAsia="仿宋"/>
            <w:sz w:val="32"/>
            <w:szCs w:val="32"/>
          </w:rPr>
          <w:t>www.pqrc.org.cn</w:t>
        </w:r>
      </w:hyperlink>
      <w:r>
        <w:rPr>
          <w:rStyle w:val="Hyperlink"/>
          <w:rFonts w:eastAsia="仿宋" w:hint="eastAsia"/>
          <w:color w:val="auto"/>
          <w:sz w:val="32"/>
          <w:szCs w:val="32"/>
          <w:u w:val="none"/>
        </w:rPr>
        <w:t>中的</w:t>
      </w:r>
      <w:r>
        <w:rPr>
          <w:rFonts w:eastAsia="仿宋" w:hint="eastAsia"/>
          <w:sz w:val="32"/>
          <w:szCs w:val="32"/>
        </w:rPr>
        <w:t>考试动态）查询，相关土建类专业评估信息可登录住房和城乡建设部官网（</w:t>
      </w:r>
      <w:hyperlink r:id="rId7" w:history="1">
        <w:r>
          <w:rPr>
            <w:rStyle w:val="Hyperlink"/>
            <w:sz w:val="32"/>
            <w:szCs w:val="32"/>
          </w:rPr>
          <w:t>www.mohurd.gov.cn</w:t>
        </w:r>
      </w:hyperlink>
      <w:r>
        <w:rPr>
          <w:rStyle w:val="Hyperlink"/>
          <w:rFonts w:eastAsia="仿宋" w:hint="eastAsia"/>
          <w:color w:val="auto"/>
          <w:sz w:val="32"/>
          <w:szCs w:val="32"/>
          <w:u w:val="none"/>
        </w:rPr>
        <w:t>）</w:t>
      </w:r>
      <w:r>
        <w:rPr>
          <w:rFonts w:eastAsia="仿宋"/>
          <w:sz w:val="32"/>
          <w:szCs w:val="32"/>
        </w:rPr>
        <w:t xml:space="preserve"> </w:t>
      </w:r>
      <w:r>
        <w:rPr>
          <w:rFonts w:ascii="宋体" w:hint="eastAsia"/>
          <w:sz w:val="32"/>
          <w:szCs w:val="32"/>
        </w:rPr>
        <w:t>“</w:t>
      </w:r>
      <w:r>
        <w:rPr>
          <w:rFonts w:eastAsia="仿宋" w:hint="eastAsia"/>
          <w:sz w:val="32"/>
          <w:szCs w:val="32"/>
        </w:rPr>
        <w:t>人事教育</w:t>
      </w:r>
      <w:r>
        <w:rPr>
          <w:rFonts w:ascii="宋体" w:hint="eastAsia"/>
          <w:sz w:val="32"/>
          <w:szCs w:val="32"/>
        </w:rPr>
        <w:t>”</w:t>
      </w:r>
      <w:r>
        <w:rPr>
          <w:rFonts w:eastAsia="仿宋" w:hint="eastAsia"/>
          <w:sz w:val="32"/>
          <w:szCs w:val="32"/>
        </w:rPr>
        <w:t>栏目中的</w:t>
      </w:r>
      <w:r>
        <w:rPr>
          <w:rFonts w:ascii="宋体" w:hint="eastAsia"/>
          <w:sz w:val="32"/>
          <w:szCs w:val="32"/>
        </w:rPr>
        <w:t>“</w:t>
      </w:r>
      <w:r>
        <w:rPr>
          <w:rFonts w:eastAsia="仿宋" w:hint="eastAsia"/>
          <w:sz w:val="32"/>
          <w:szCs w:val="32"/>
        </w:rPr>
        <w:t>专业评估</w:t>
      </w:r>
      <w:r>
        <w:rPr>
          <w:rFonts w:ascii="宋体" w:hint="eastAsia"/>
          <w:sz w:val="32"/>
          <w:szCs w:val="32"/>
        </w:rPr>
        <w:t>”</w:t>
      </w:r>
      <w:r>
        <w:rPr>
          <w:rFonts w:eastAsia="仿宋" w:hint="eastAsia"/>
          <w:sz w:val="32"/>
          <w:szCs w:val="32"/>
        </w:rPr>
        <w:t>板块进行查询。</w:t>
      </w:r>
    </w:p>
    <w:p w:rsidR="00CC0FDB" w:rsidRDefault="00CC0FDB" w:rsidP="009F27D3">
      <w:pPr>
        <w:spacing w:line="540" w:lineRule="exact"/>
        <w:ind w:firstLineChars="200" w:firstLine="3168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2</w:t>
      </w:r>
      <w:r>
        <w:rPr>
          <w:rFonts w:eastAsia="仿宋" w:hint="eastAsia"/>
          <w:sz w:val="32"/>
          <w:szCs w:val="32"/>
        </w:rPr>
        <w:t>、报考人员所学专业请按照全国勘察设计注册工程师管理委员会《关于印发</w:t>
      </w:r>
      <w:r>
        <w:rPr>
          <w:rFonts w:eastAsia="仿宋" w:hAnsi="仿宋" w:hint="eastAsia"/>
          <w:sz w:val="32"/>
          <w:szCs w:val="32"/>
        </w:rPr>
        <w:t>〈</w:t>
      </w:r>
      <w:r>
        <w:rPr>
          <w:rFonts w:eastAsia="仿宋" w:hint="eastAsia"/>
          <w:sz w:val="32"/>
          <w:szCs w:val="32"/>
        </w:rPr>
        <w:t>全国勘察设计注册工程师相关专业新旧名称对照表（</w:t>
      </w:r>
      <w:r>
        <w:rPr>
          <w:rFonts w:eastAsia="仿宋"/>
          <w:sz w:val="32"/>
          <w:szCs w:val="32"/>
        </w:rPr>
        <w:t>2018</w:t>
      </w:r>
      <w:r>
        <w:rPr>
          <w:rFonts w:eastAsia="仿宋" w:hint="eastAsia"/>
          <w:sz w:val="32"/>
          <w:szCs w:val="32"/>
        </w:rPr>
        <w:t>）〉</w:t>
      </w:r>
      <w:r>
        <w:rPr>
          <w:rFonts w:eastAsia="仿宋" w:hAnsi="仿宋" w:hint="eastAsia"/>
          <w:sz w:val="32"/>
          <w:szCs w:val="32"/>
        </w:rPr>
        <w:t>》（注工〔</w:t>
      </w:r>
      <w:r>
        <w:rPr>
          <w:rFonts w:eastAsia="仿宋"/>
          <w:sz w:val="32"/>
          <w:szCs w:val="32"/>
        </w:rPr>
        <w:t>2018</w:t>
      </w:r>
      <w:r>
        <w:rPr>
          <w:rFonts w:eastAsia="仿宋" w:hAnsi="仿宋" w:hint="eastAsia"/>
          <w:sz w:val="32"/>
          <w:szCs w:val="32"/>
        </w:rPr>
        <w:t>〕</w:t>
      </w:r>
      <w:r>
        <w:rPr>
          <w:rFonts w:eastAsia="仿宋"/>
          <w:sz w:val="32"/>
          <w:szCs w:val="32"/>
        </w:rPr>
        <w:t>1</w:t>
      </w:r>
      <w:r>
        <w:rPr>
          <w:rFonts w:eastAsia="仿宋" w:hAnsi="仿宋" w:hint="eastAsia"/>
          <w:sz w:val="32"/>
          <w:szCs w:val="32"/>
        </w:rPr>
        <w:t>号）和</w:t>
      </w:r>
      <w:r>
        <w:rPr>
          <w:rFonts w:eastAsia="仿宋" w:hint="eastAsia"/>
          <w:sz w:val="32"/>
          <w:szCs w:val="32"/>
        </w:rPr>
        <w:t>《关于印发</w:t>
      </w:r>
      <w:r>
        <w:rPr>
          <w:rFonts w:eastAsia="仿宋" w:hAnsi="仿宋" w:hint="eastAsia"/>
          <w:sz w:val="32"/>
          <w:szCs w:val="32"/>
        </w:rPr>
        <w:t>〈</w:t>
      </w:r>
      <w:r>
        <w:rPr>
          <w:rFonts w:eastAsia="仿宋" w:hint="eastAsia"/>
          <w:sz w:val="32"/>
          <w:szCs w:val="32"/>
        </w:rPr>
        <w:t>勘察设计注册土木工程师（道路工程）新旧专业参照表（</w:t>
      </w:r>
      <w:r>
        <w:rPr>
          <w:rFonts w:eastAsia="仿宋"/>
          <w:sz w:val="32"/>
          <w:szCs w:val="32"/>
        </w:rPr>
        <w:t>2019</w:t>
      </w:r>
      <w:r>
        <w:rPr>
          <w:rFonts w:eastAsia="仿宋" w:hint="eastAsia"/>
          <w:sz w:val="32"/>
          <w:szCs w:val="32"/>
        </w:rPr>
        <w:t>）〉</w:t>
      </w:r>
      <w:r>
        <w:rPr>
          <w:rFonts w:eastAsia="仿宋" w:hAnsi="仿宋" w:hint="eastAsia"/>
          <w:sz w:val="32"/>
          <w:szCs w:val="32"/>
        </w:rPr>
        <w:t>》（注工〔</w:t>
      </w:r>
      <w:r>
        <w:rPr>
          <w:rFonts w:eastAsia="仿宋"/>
          <w:sz w:val="32"/>
          <w:szCs w:val="32"/>
        </w:rPr>
        <w:t>2019</w:t>
      </w:r>
      <w:r>
        <w:rPr>
          <w:rFonts w:eastAsia="仿宋" w:hAnsi="仿宋" w:hint="eastAsia"/>
          <w:sz w:val="32"/>
          <w:szCs w:val="32"/>
        </w:rPr>
        <w:t>〕</w:t>
      </w:r>
      <w:r>
        <w:rPr>
          <w:rFonts w:eastAsia="仿宋"/>
          <w:sz w:val="32"/>
          <w:szCs w:val="32"/>
        </w:rPr>
        <w:t>7</w:t>
      </w:r>
      <w:r>
        <w:rPr>
          <w:rFonts w:eastAsia="仿宋" w:hAnsi="仿宋" w:hint="eastAsia"/>
          <w:sz w:val="32"/>
          <w:szCs w:val="32"/>
        </w:rPr>
        <w:t>号）的相关规定进行审核。上述两文件可登录</w:t>
      </w:r>
      <w:r>
        <w:rPr>
          <w:rFonts w:eastAsia="仿宋" w:hint="eastAsia"/>
          <w:sz w:val="32"/>
          <w:szCs w:val="32"/>
        </w:rPr>
        <w:t>住房和城乡建设部执业资格注册中心官网（</w:t>
      </w:r>
      <w:hyperlink r:id="rId8" w:history="1">
        <w:r>
          <w:rPr>
            <w:rStyle w:val="Hyperlink"/>
            <w:rFonts w:eastAsia="仿宋"/>
            <w:sz w:val="32"/>
            <w:szCs w:val="32"/>
          </w:rPr>
          <w:t>www.pqrc.org.cn</w:t>
        </w:r>
      </w:hyperlink>
      <w:r>
        <w:rPr>
          <w:rStyle w:val="Hyperlink"/>
          <w:rFonts w:eastAsia="仿宋" w:hint="eastAsia"/>
          <w:color w:val="auto"/>
          <w:sz w:val="32"/>
          <w:szCs w:val="32"/>
          <w:u w:val="none"/>
        </w:rPr>
        <w:t>中的</w:t>
      </w:r>
      <w:r>
        <w:rPr>
          <w:rFonts w:eastAsia="仿宋" w:hint="eastAsia"/>
          <w:sz w:val="32"/>
          <w:szCs w:val="32"/>
        </w:rPr>
        <w:t>考试动态）查询。</w:t>
      </w:r>
    </w:p>
    <w:p w:rsidR="00CC0FDB" w:rsidRDefault="00CC0FDB">
      <w:pPr>
        <w:widowControl/>
        <w:jc w:val="center"/>
        <w:rPr>
          <w:b/>
          <w:bCs/>
          <w:kern w:val="0"/>
          <w:sz w:val="32"/>
          <w:szCs w:val="32"/>
        </w:rPr>
      </w:pPr>
      <w:r>
        <w:rPr>
          <w:rFonts w:hint="eastAsia"/>
          <w:b/>
          <w:bCs/>
          <w:kern w:val="0"/>
          <w:sz w:val="32"/>
          <w:szCs w:val="32"/>
        </w:rPr>
        <w:t>一级造价工程师、注册城乡规划师、房地产估价师和经济专业技术资格考试报考条件</w:t>
      </w:r>
    </w:p>
    <w:tbl>
      <w:tblPr>
        <w:tblW w:w="99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41"/>
        <w:gridCol w:w="7"/>
        <w:gridCol w:w="950"/>
        <w:gridCol w:w="940"/>
        <w:gridCol w:w="886"/>
        <w:gridCol w:w="766"/>
        <w:gridCol w:w="108"/>
        <w:gridCol w:w="566"/>
        <w:gridCol w:w="720"/>
        <w:gridCol w:w="1349"/>
        <w:gridCol w:w="2838"/>
        <w:gridCol w:w="17"/>
      </w:tblGrid>
      <w:tr w:rsidR="00CC0FDB">
        <w:trPr>
          <w:gridAfter w:val="1"/>
          <w:wAfter w:w="17" w:type="dxa"/>
          <w:jc w:val="center"/>
        </w:trPr>
        <w:tc>
          <w:tcPr>
            <w:tcW w:w="848" w:type="dxa"/>
            <w:gridSpan w:val="2"/>
          </w:tcPr>
          <w:p w:rsidR="00CC0FDB" w:rsidRDefault="00CC0FD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</w:rPr>
              <w:t>考试</w:t>
            </w:r>
          </w:p>
          <w:p w:rsidR="00CC0FDB" w:rsidRDefault="00CC0FDB">
            <w:pPr>
              <w:widowControl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</w:rPr>
              <w:t>类别</w:t>
            </w:r>
          </w:p>
        </w:tc>
        <w:tc>
          <w:tcPr>
            <w:tcW w:w="2776" w:type="dxa"/>
            <w:gridSpan w:val="3"/>
            <w:vAlign w:val="center"/>
          </w:tcPr>
          <w:p w:rsidR="00CC0FDB" w:rsidRDefault="00CC0FDB">
            <w:pPr>
              <w:widowControl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</w:rPr>
              <w:t>所学专业</w:t>
            </w:r>
          </w:p>
        </w:tc>
        <w:tc>
          <w:tcPr>
            <w:tcW w:w="2160" w:type="dxa"/>
            <w:gridSpan w:val="4"/>
            <w:vAlign w:val="center"/>
          </w:tcPr>
          <w:p w:rsidR="00CC0FDB" w:rsidRDefault="00CC0FDB">
            <w:pPr>
              <w:widowControl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</w:rPr>
              <w:t>学位或学历</w:t>
            </w:r>
          </w:p>
        </w:tc>
        <w:tc>
          <w:tcPr>
            <w:tcW w:w="4187" w:type="dxa"/>
            <w:gridSpan w:val="2"/>
            <w:vAlign w:val="center"/>
          </w:tcPr>
          <w:p w:rsidR="00CC0FDB" w:rsidRDefault="00CC0FDB">
            <w:pPr>
              <w:widowControl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</w:rPr>
              <w:t>职业实践最少时间</w:t>
            </w:r>
          </w:p>
        </w:tc>
      </w:tr>
      <w:tr w:rsidR="00CC0FDB">
        <w:trPr>
          <w:gridAfter w:val="1"/>
          <w:wAfter w:w="17" w:type="dxa"/>
          <w:trHeight w:hRule="exact" w:val="567"/>
          <w:jc w:val="center"/>
        </w:trPr>
        <w:tc>
          <w:tcPr>
            <w:tcW w:w="848" w:type="dxa"/>
            <w:gridSpan w:val="2"/>
            <w:vMerge w:val="restart"/>
            <w:vAlign w:val="center"/>
          </w:tcPr>
          <w:p w:rsidR="00CC0FDB" w:rsidRDefault="00CC0FDB">
            <w:pPr>
              <w:jc w:val="center"/>
              <w:rPr>
                <w:rFonts w:eastAsia="黑体"/>
                <w:b/>
                <w:szCs w:val="21"/>
              </w:rPr>
            </w:pPr>
            <w:r>
              <w:rPr>
                <w:rFonts w:eastAsia="黑体" w:hint="eastAsia"/>
                <w:b/>
                <w:szCs w:val="21"/>
              </w:rPr>
              <w:t>一</w:t>
            </w:r>
          </w:p>
          <w:p w:rsidR="00CC0FDB" w:rsidRDefault="00CC0FDB">
            <w:pPr>
              <w:jc w:val="center"/>
              <w:rPr>
                <w:rFonts w:eastAsia="黑体"/>
                <w:b/>
                <w:szCs w:val="21"/>
              </w:rPr>
            </w:pPr>
            <w:r>
              <w:rPr>
                <w:rFonts w:eastAsia="黑体" w:hint="eastAsia"/>
                <w:b/>
                <w:szCs w:val="21"/>
              </w:rPr>
              <w:t>级</w:t>
            </w:r>
          </w:p>
          <w:p w:rsidR="00CC0FDB" w:rsidRDefault="00CC0FDB">
            <w:pPr>
              <w:jc w:val="center"/>
              <w:rPr>
                <w:rFonts w:eastAsia="黑体"/>
                <w:b/>
                <w:szCs w:val="21"/>
              </w:rPr>
            </w:pPr>
            <w:r>
              <w:rPr>
                <w:rFonts w:eastAsia="黑体" w:hint="eastAsia"/>
                <w:b/>
                <w:szCs w:val="21"/>
              </w:rPr>
              <w:t>造</w:t>
            </w:r>
          </w:p>
          <w:p w:rsidR="00CC0FDB" w:rsidRDefault="00CC0FDB">
            <w:pPr>
              <w:jc w:val="center"/>
              <w:rPr>
                <w:rFonts w:eastAsia="黑体"/>
                <w:b/>
                <w:szCs w:val="21"/>
              </w:rPr>
            </w:pPr>
            <w:r>
              <w:rPr>
                <w:rFonts w:eastAsia="黑体" w:hint="eastAsia"/>
                <w:b/>
                <w:szCs w:val="21"/>
              </w:rPr>
              <w:t>价</w:t>
            </w:r>
          </w:p>
          <w:p w:rsidR="00CC0FDB" w:rsidRDefault="00CC0FDB">
            <w:pPr>
              <w:jc w:val="center"/>
              <w:rPr>
                <w:rFonts w:eastAsia="黑体"/>
                <w:b/>
                <w:szCs w:val="21"/>
              </w:rPr>
            </w:pPr>
            <w:r>
              <w:rPr>
                <w:rFonts w:eastAsia="黑体" w:hint="eastAsia"/>
                <w:b/>
                <w:szCs w:val="21"/>
              </w:rPr>
              <w:t>工</w:t>
            </w:r>
          </w:p>
          <w:p w:rsidR="00CC0FDB" w:rsidRDefault="00CC0FDB">
            <w:pPr>
              <w:jc w:val="center"/>
              <w:rPr>
                <w:rFonts w:eastAsia="黑体"/>
                <w:b/>
                <w:szCs w:val="21"/>
              </w:rPr>
            </w:pPr>
            <w:r>
              <w:rPr>
                <w:rFonts w:eastAsia="黑体" w:hint="eastAsia"/>
                <w:b/>
                <w:szCs w:val="21"/>
              </w:rPr>
              <w:t>程</w:t>
            </w:r>
          </w:p>
          <w:p w:rsidR="00CC0FDB" w:rsidRDefault="00CC0FDB">
            <w:pPr>
              <w:jc w:val="center"/>
              <w:rPr>
                <w:szCs w:val="21"/>
              </w:rPr>
            </w:pPr>
            <w:r>
              <w:rPr>
                <w:rFonts w:eastAsia="黑体" w:hint="eastAsia"/>
                <w:b/>
                <w:szCs w:val="21"/>
              </w:rPr>
              <w:t>师</w:t>
            </w:r>
          </w:p>
        </w:tc>
        <w:tc>
          <w:tcPr>
            <w:tcW w:w="2776" w:type="dxa"/>
            <w:gridSpan w:val="3"/>
            <w:vAlign w:val="center"/>
          </w:tcPr>
          <w:p w:rsidR="00CC0FDB" w:rsidRDefault="00CC0FDB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工程造价</w:t>
            </w:r>
          </w:p>
        </w:tc>
        <w:tc>
          <w:tcPr>
            <w:tcW w:w="2160" w:type="dxa"/>
            <w:gridSpan w:val="4"/>
            <w:vMerge w:val="restart"/>
            <w:vAlign w:val="center"/>
          </w:tcPr>
          <w:p w:rsidR="00CC0FDB" w:rsidRDefault="00CC0FDB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大学专科</w:t>
            </w:r>
          </w:p>
          <w:p w:rsidR="00CC0FDB" w:rsidRDefault="00CC0FDB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（或高等职业教育）</w:t>
            </w:r>
          </w:p>
        </w:tc>
        <w:tc>
          <w:tcPr>
            <w:tcW w:w="4187" w:type="dxa"/>
            <w:gridSpan w:val="2"/>
            <w:vAlign w:val="center"/>
          </w:tcPr>
          <w:p w:rsidR="00CC0FDB" w:rsidRDefault="00CC0FDB">
            <w:pPr>
              <w:widowControl/>
              <w:rPr>
                <w:szCs w:val="21"/>
              </w:rPr>
            </w:pPr>
            <w:r>
              <w:rPr>
                <w:rFonts w:hint="eastAsia"/>
                <w:szCs w:val="21"/>
              </w:rPr>
              <w:t>从事工程造价业务工作满</w:t>
            </w:r>
            <w:r>
              <w:rPr>
                <w:szCs w:val="21"/>
              </w:rPr>
              <w:t>5</w:t>
            </w:r>
            <w:r>
              <w:rPr>
                <w:rFonts w:hint="eastAsia"/>
                <w:szCs w:val="21"/>
              </w:rPr>
              <w:t>年</w:t>
            </w:r>
          </w:p>
        </w:tc>
      </w:tr>
      <w:tr w:rsidR="00CC0FDB">
        <w:trPr>
          <w:gridAfter w:val="1"/>
          <w:wAfter w:w="17" w:type="dxa"/>
          <w:trHeight w:hRule="exact" w:val="1137"/>
          <w:jc w:val="center"/>
        </w:trPr>
        <w:tc>
          <w:tcPr>
            <w:tcW w:w="848" w:type="dxa"/>
            <w:gridSpan w:val="2"/>
            <w:vMerge/>
            <w:vAlign w:val="center"/>
          </w:tcPr>
          <w:p w:rsidR="00CC0FDB" w:rsidRDefault="00CC0FDB">
            <w:pPr>
              <w:rPr>
                <w:szCs w:val="21"/>
              </w:rPr>
            </w:pPr>
          </w:p>
        </w:tc>
        <w:tc>
          <w:tcPr>
            <w:tcW w:w="2776" w:type="dxa"/>
            <w:gridSpan w:val="3"/>
            <w:vAlign w:val="center"/>
          </w:tcPr>
          <w:p w:rsidR="00CC0FDB" w:rsidRDefault="00CC0FDB">
            <w:pPr>
              <w:tabs>
                <w:tab w:val="left" w:pos="6072"/>
              </w:tabs>
              <w:rPr>
                <w:szCs w:val="21"/>
              </w:rPr>
            </w:pPr>
            <w:r>
              <w:rPr>
                <w:rFonts w:hint="eastAsia"/>
                <w:szCs w:val="21"/>
              </w:rPr>
              <w:t>土木建筑、水利、装备制造、交通运输、电子信息、财经商贸大类</w:t>
            </w:r>
          </w:p>
        </w:tc>
        <w:tc>
          <w:tcPr>
            <w:tcW w:w="2160" w:type="dxa"/>
            <w:gridSpan w:val="4"/>
            <w:vMerge/>
            <w:vAlign w:val="center"/>
          </w:tcPr>
          <w:p w:rsidR="00CC0FDB" w:rsidRDefault="00CC0FDB">
            <w:pPr>
              <w:widowControl/>
              <w:rPr>
                <w:szCs w:val="21"/>
              </w:rPr>
            </w:pPr>
          </w:p>
        </w:tc>
        <w:tc>
          <w:tcPr>
            <w:tcW w:w="4187" w:type="dxa"/>
            <w:gridSpan w:val="2"/>
            <w:vAlign w:val="center"/>
          </w:tcPr>
          <w:p w:rsidR="00CC0FDB" w:rsidRDefault="00CC0FDB">
            <w:pPr>
              <w:widowControl/>
              <w:rPr>
                <w:szCs w:val="21"/>
              </w:rPr>
            </w:pPr>
            <w:r>
              <w:rPr>
                <w:rFonts w:hint="eastAsia"/>
                <w:szCs w:val="21"/>
              </w:rPr>
              <w:t>从事工程造价业务工作满</w:t>
            </w:r>
            <w:r>
              <w:rPr>
                <w:szCs w:val="21"/>
              </w:rPr>
              <w:t>6</w:t>
            </w:r>
            <w:r>
              <w:rPr>
                <w:rFonts w:hint="eastAsia"/>
                <w:szCs w:val="21"/>
              </w:rPr>
              <w:t>年</w:t>
            </w:r>
          </w:p>
        </w:tc>
      </w:tr>
      <w:tr w:rsidR="00CC0FDB">
        <w:trPr>
          <w:gridAfter w:val="1"/>
          <w:wAfter w:w="17" w:type="dxa"/>
          <w:trHeight w:hRule="exact" w:val="1095"/>
          <w:jc w:val="center"/>
        </w:trPr>
        <w:tc>
          <w:tcPr>
            <w:tcW w:w="848" w:type="dxa"/>
            <w:gridSpan w:val="2"/>
            <w:vMerge/>
            <w:vAlign w:val="center"/>
          </w:tcPr>
          <w:p w:rsidR="00CC0FDB" w:rsidRDefault="00CC0FDB">
            <w:pPr>
              <w:rPr>
                <w:szCs w:val="21"/>
              </w:rPr>
            </w:pPr>
          </w:p>
        </w:tc>
        <w:tc>
          <w:tcPr>
            <w:tcW w:w="2776" w:type="dxa"/>
            <w:gridSpan w:val="3"/>
            <w:vAlign w:val="center"/>
          </w:tcPr>
          <w:p w:rsidR="00CC0FDB" w:rsidRDefault="00CC0FDB">
            <w:pPr>
              <w:tabs>
                <w:tab w:val="left" w:pos="6072"/>
              </w:tabs>
              <w:rPr>
                <w:szCs w:val="21"/>
              </w:rPr>
            </w:pPr>
            <w:r>
              <w:rPr>
                <w:rFonts w:hint="eastAsia"/>
                <w:szCs w:val="21"/>
              </w:rPr>
              <w:t>通过工程教育专业评估（认证）的工程管理、工程造价专业</w:t>
            </w:r>
          </w:p>
        </w:tc>
        <w:tc>
          <w:tcPr>
            <w:tcW w:w="2160" w:type="dxa"/>
            <w:gridSpan w:val="4"/>
            <w:vAlign w:val="center"/>
          </w:tcPr>
          <w:p w:rsidR="00CC0FDB" w:rsidRDefault="00CC0FDB">
            <w:pPr>
              <w:widowControl/>
              <w:rPr>
                <w:szCs w:val="21"/>
              </w:rPr>
            </w:pPr>
            <w:r>
              <w:rPr>
                <w:rFonts w:hint="eastAsia"/>
                <w:szCs w:val="21"/>
              </w:rPr>
              <w:t>大学本科</w:t>
            </w:r>
          </w:p>
          <w:p w:rsidR="00CC0FDB" w:rsidRDefault="00CC0FDB">
            <w:pPr>
              <w:widowControl/>
              <w:rPr>
                <w:szCs w:val="21"/>
              </w:rPr>
            </w:pPr>
            <w:r>
              <w:rPr>
                <w:rFonts w:hint="eastAsia"/>
                <w:szCs w:val="21"/>
              </w:rPr>
              <w:t>学历或学位</w:t>
            </w:r>
          </w:p>
        </w:tc>
        <w:tc>
          <w:tcPr>
            <w:tcW w:w="4187" w:type="dxa"/>
            <w:gridSpan w:val="2"/>
            <w:vAlign w:val="center"/>
          </w:tcPr>
          <w:p w:rsidR="00CC0FDB" w:rsidRDefault="00CC0FDB">
            <w:pPr>
              <w:widowControl/>
              <w:rPr>
                <w:szCs w:val="21"/>
              </w:rPr>
            </w:pPr>
            <w:r>
              <w:rPr>
                <w:rFonts w:hint="eastAsia"/>
                <w:szCs w:val="21"/>
              </w:rPr>
              <w:t>从事工程造价业务工作满</w:t>
            </w:r>
            <w:r>
              <w:rPr>
                <w:szCs w:val="21"/>
              </w:rPr>
              <w:t>4</w:t>
            </w:r>
            <w:r>
              <w:rPr>
                <w:rFonts w:hint="eastAsia"/>
                <w:szCs w:val="21"/>
              </w:rPr>
              <w:t>年</w:t>
            </w:r>
          </w:p>
        </w:tc>
      </w:tr>
      <w:tr w:rsidR="00CC0FDB">
        <w:trPr>
          <w:gridAfter w:val="1"/>
          <w:wAfter w:w="17" w:type="dxa"/>
          <w:trHeight w:hRule="exact" w:val="614"/>
          <w:jc w:val="center"/>
        </w:trPr>
        <w:tc>
          <w:tcPr>
            <w:tcW w:w="848" w:type="dxa"/>
            <w:gridSpan w:val="2"/>
            <w:vMerge/>
            <w:vAlign w:val="center"/>
          </w:tcPr>
          <w:p w:rsidR="00CC0FDB" w:rsidRDefault="00CC0FDB">
            <w:pPr>
              <w:rPr>
                <w:szCs w:val="21"/>
              </w:rPr>
            </w:pPr>
          </w:p>
        </w:tc>
        <w:tc>
          <w:tcPr>
            <w:tcW w:w="2776" w:type="dxa"/>
            <w:gridSpan w:val="3"/>
            <w:vAlign w:val="center"/>
          </w:tcPr>
          <w:p w:rsidR="00CC0FDB" w:rsidRDefault="00CC0FDB">
            <w:pPr>
              <w:tabs>
                <w:tab w:val="left" w:pos="6072"/>
              </w:tabs>
              <w:rPr>
                <w:szCs w:val="21"/>
              </w:rPr>
            </w:pPr>
            <w:r>
              <w:rPr>
                <w:rFonts w:hint="eastAsia"/>
                <w:szCs w:val="21"/>
              </w:rPr>
              <w:t>工学、管理学、经济学门类</w:t>
            </w:r>
          </w:p>
        </w:tc>
        <w:tc>
          <w:tcPr>
            <w:tcW w:w="2160" w:type="dxa"/>
            <w:gridSpan w:val="4"/>
            <w:vAlign w:val="center"/>
          </w:tcPr>
          <w:p w:rsidR="00CC0FDB" w:rsidRDefault="00CC0FDB">
            <w:pPr>
              <w:widowControl/>
              <w:rPr>
                <w:szCs w:val="21"/>
              </w:rPr>
            </w:pPr>
            <w:r>
              <w:rPr>
                <w:rFonts w:hint="eastAsia"/>
                <w:szCs w:val="21"/>
              </w:rPr>
              <w:t>大学本科</w:t>
            </w:r>
          </w:p>
          <w:p w:rsidR="00CC0FDB" w:rsidRDefault="00CC0FDB">
            <w:pPr>
              <w:widowControl/>
              <w:rPr>
                <w:szCs w:val="21"/>
              </w:rPr>
            </w:pPr>
            <w:r>
              <w:rPr>
                <w:rFonts w:hint="eastAsia"/>
                <w:szCs w:val="21"/>
              </w:rPr>
              <w:t>学历或学位</w:t>
            </w:r>
          </w:p>
        </w:tc>
        <w:tc>
          <w:tcPr>
            <w:tcW w:w="4187" w:type="dxa"/>
            <w:gridSpan w:val="2"/>
            <w:vAlign w:val="center"/>
          </w:tcPr>
          <w:p w:rsidR="00CC0FDB" w:rsidRDefault="00CC0FDB">
            <w:pPr>
              <w:widowControl/>
              <w:rPr>
                <w:szCs w:val="21"/>
              </w:rPr>
            </w:pPr>
            <w:r>
              <w:rPr>
                <w:rFonts w:hint="eastAsia"/>
                <w:szCs w:val="21"/>
              </w:rPr>
              <w:t>从事工程造价业务工作满</w:t>
            </w:r>
            <w:r>
              <w:rPr>
                <w:szCs w:val="21"/>
              </w:rPr>
              <w:t>5</w:t>
            </w:r>
            <w:r>
              <w:rPr>
                <w:rFonts w:hint="eastAsia"/>
                <w:szCs w:val="21"/>
              </w:rPr>
              <w:t>年</w:t>
            </w:r>
          </w:p>
        </w:tc>
      </w:tr>
      <w:tr w:rsidR="00CC0FDB">
        <w:trPr>
          <w:gridAfter w:val="1"/>
          <w:wAfter w:w="17" w:type="dxa"/>
          <w:trHeight w:hRule="exact" w:val="838"/>
          <w:jc w:val="center"/>
        </w:trPr>
        <w:tc>
          <w:tcPr>
            <w:tcW w:w="848" w:type="dxa"/>
            <w:gridSpan w:val="2"/>
            <w:vMerge/>
            <w:vAlign w:val="center"/>
          </w:tcPr>
          <w:p w:rsidR="00CC0FDB" w:rsidRDefault="00CC0FDB">
            <w:pPr>
              <w:rPr>
                <w:szCs w:val="21"/>
              </w:rPr>
            </w:pPr>
          </w:p>
        </w:tc>
        <w:tc>
          <w:tcPr>
            <w:tcW w:w="2776" w:type="dxa"/>
            <w:gridSpan w:val="3"/>
            <w:vAlign w:val="center"/>
          </w:tcPr>
          <w:p w:rsidR="00CC0FDB" w:rsidRDefault="00CC0FDB">
            <w:pPr>
              <w:tabs>
                <w:tab w:val="left" w:pos="6072"/>
              </w:tabs>
              <w:rPr>
                <w:szCs w:val="21"/>
              </w:rPr>
            </w:pPr>
            <w:r>
              <w:rPr>
                <w:rFonts w:hint="eastAsia"/>
                <w:szCs w:val="21"/>
              </w:rPr>
              <w:t>工学、管理学、经济学门类</w:t>
            </w:r>
          </w:p>
        </w:tc>
        <w:tc>
          <w:tcPr>
            <w:tcW w:w="2160" w:type="dxa"/>
            <w:gridSpan w:val="4"/>
            <w:vAlign w:val="center"/>
          </w:tcPr>
          <w:p w:rsidR="00CC0FDB" w:rsidRDefault="00CC0FDB">
            <w:pPr>
              <w:widowControl/>
              <w:rPr>
                <w:szCs w:val="21"/>
              </w:rPr>
            </w:pPr>
            <w:r>
              <w:rPr>
                <w:rFonts w:hint="eastAsia"/>
                <w:szCs w:val="21"/>
              </w:rPr>
              <w:t>硕士学位或者</w:t>
            </w:r>
          </w:p>
          <w:p w:rsidR="00CC0FDB" w:rsidRDefault="00CC0FDB">
            <w:pPr>
              <w:widowControl/>
              <w:rPr>
                <w:szCs w:val="21"/>
              </w:rPr>
            </w:pPr>
            <w:r>
              <w:rPr>
                <w:rFonts w:hint="eastAsia"/>
                <w:szCs w:val="21"/>
              </w:rPr>
              <w:t>第二学士学位</w:t>
            </w:r>
          </w:p>
        </w:tc>
        <w:tc>
          <w:tcPr>
            <w:tcW w:w="4187" w:type="dxa"/>
            <w:gridSpan w:val="2"/>
            <w:vAlign w:val="center"/>
          </w:tcPr>
          <w:p w:rsidR="00CC0FDB" w:rsidRDefault="00CC0FDB">
            <w:pPr>
              <w:widowControl/>
              <w:rPr>
                <w:szCs w:val="21"/>
              </w:rPr>
            </w:pPr>
            <w:r>
              <w:rPr>
                <w:rFonts w:hint="eastAsia"/>
                <w:szCs w:val="21"/>
              </w:rPr>
              <w:t>从事工程造价业务工作满</w:t>
            </w:r>
            <w:r>
              <w:rPr>
                <w:szCs w:val="21"/>
              </w:rPr>
              <w:t>3</w:t>
            </w:r>
            <w:r>
              <w:rPr>
                <w:rFonts w:hint="eastAsia"/>
                <w:szCs w:val="21"/>
              </w:rPr>
              <w:t>年</w:t>
            </w:r>
          </w:p>
        </w:tc>
      </w:tr>
      <w:tr w:rsidR="00CC0FDB">
        <w:trPr>
          <w:gridAfter w:val="1"/>
          <w:wAfter w:w="17" w:type="dxa"/>
          <w:trHeight w:hRule="exact" w:val="466"/>
          <w:jc w:val="center"/>
        </w:trPr>
        <w:tc>
          <w:tcPr>
            <w:tcW w:w="848" w:type="dxa"/>
            <w:gridSpan w:val="2"/>
            <w:vMerge/>
            <w:vAlign w:val="center"/>
          </w:tcPr>
          <w:p w:rsidR="00CC0FDB" w:rsidRDefault="00CC0FDB">
            <w:pPr>
              <w:rPr>
                <w:szCs w:val="21"/>
              </w:rPr>
            </w:pPr>
          </w:p>
        </w:tc>
        <w:tc>
          <w:tcPr>
            <w:tcW w:w="2776" w:type="dxa"/>
            <w:gridSpan w:val="3"/>
            <w:vAlign w:val="center"/>
          </w:tcPr>
          <w:p w:rsidR="00CC0FDB" w:rsidRDefault="00CC0FDB">
            <w:pPr>
              <w:tabs>
                <w:tab w:val="left" w:pos="6072"/>
              </w:tabs>
              <w:rPr>
                <w:szCs w:val="21"/>
              </w:rPr>
            </w:pPr>
            <w:r>
              <w:rPr>
                <w:rFonts w:hint="eastAsia"/>
                <w:szCs w:val="21"/>
              </w:rPr>
              <w:t>工学、管理学、经济学门类</w:t>
            </w:r>
          </w:p>
        </w:tc>
        <w:tc>
          <w:tcPr>
            <w:tcW w:w="2160" w:type="dxa"/>
            <w:gridSpan w:val="4"/>
            <w:vAlign w:val="center"/>
          </w:tcPr>
          <w:p w:rsidR="00CC0FDB" w:rsidRDefault="00CC0FDB">
            <w:pPr>
              <w:widowControl/>
              <w:rPr>
                <w:szCs w:val="21"/>
              </w:rPr>
            </w:pPr>
            <w:r>
              <w:rPr>
                <w:rFonts w:hint="eastAsia"/>
                <w:szCs w:val="21"/>
              </w:rPr>
              <w:t>博士学位</w:t>
            </w:r>
          </w:p>
        </w:tc>
        <w:tc>
          <w:tcPr>
            <w:tcW w:w="4187" w:type="dxa"/>
            <w:gridSpan w:val="2"/>
            <w:vAlign w:val="center"/>
          </w:tcPr>
          <w:p w:rsidR="00CC0FDB" w:rsidRDefault="00CC0FDB">
            <w:pPr>
              <w:widowControl/>
              <w:rPr>
                <w:szCs w:val="21"/>
              </w:rPr>
            </w:pPr>
            <w:r>
              <w:rPr>
                <w:rFonts w:hint="eastAsia"/>
                <w:szCs w:val="21"/>
              </w:rPr>
              <w:t>从事工程造价业务工作满</w:t>
            </w: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</w:rPr>
              <w:t>年</w:t>
            </w:r>
          </w:p>
        </w:tc>
      </w:tr>
      <w:tr w:rsidR="00CC0FDB">
        <w:trPr>
          <w:gridAfter w:val="1"/>
          <w:wAfter w:w="17" w:type="dxa"/>
          <w:trHeight w:hRule="exact" w:val="685"/>
          <w:jc w:val="center"/>
        </w:trPr>
        <w:tc>
          <w:tcPr>
            <w:tcW w:w="848" w:type="dxa"/>
            <w:gridSpan w:val="2"/>
            <w:vMerge/>
            <w:vAlign w:val="center"/>
          </w:tcPr>
          <w:p w:rsidR="00CC0FDB" w:rsidRDefault="00CC0FDB">
            <w:pPr>
              <w:rPr>
                <w:szCs w:val="21"/>
              </w:rPr>
            </w:pPr>
          </w:p>
        </w:tc>
        <w:tc>
          <w:tcPr>
            <w:tcW w:w="9123" w:type="dxa"/>
            <w:gridSpan w:val="9"/>
            <w:vAlign w:val="center"/>
          </w:tcPr>
          <w:p w:rsidR="00CC0FDB" w:rsidRDefault="00CC0FDB">
            <w:pPr>
              <w:widowControl/>
              <w:rPr>
                <w:szCs w:val="21"/>
              </w:rPr>
            </w:pPr>
            <w:r>
              <w:rPr>
                <w:rFonts w:hint="eastAsia"/>
                <w:szCs w:val="21"/>
              </w:rPr>
              <w:t>具有其他专业相应学历或者学位的人员，从事工程造价业务工作年限相应增加</w:t>
            </w: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</w:rPr>
              <w:t>年</w:t>
            </w:r>
          </w:p>
        </w:tc>
      </w:tr>
      <w:tr w:rsidR="00CC0FDB">
        <w:trPr>
          <w:gridAfter w:val="1"/>
          <w:wAfter w:w="17" w:type="dxa"/>
          <w:trHeight w:hRule="exact" w:val="6558"/>
          <w:jc w:val="center"/>
        </w:trPr>
        <w:tc>
          <w:tcPr>
            <w:tcW w:w="848" w:type="dxa"/>
            <w:gridSpan w:val="2"/>
            <w:vMerge/>
          </w:tcPr>
          <w:p w:rsidR="00CC0FDB" w:rsidRDefault="00CC0FDB">
            <w:pPr>
              <w:rPr>
                <w:szCs w:val="21"/>
              </w:rPr>
            </w:pPr>
          </w:p>
        </w:tc>
        <w:tc>
          <w:tcPr>
            <w:tcW w:w="9123" w:type="dxa"/>
            <w:gridSpan w:val="9"/>
          </w:tcPr>
          <w:p w:rsidR="00CC0FDB" w:rsidRDefault="00CC0FDB" w:rsidP="00CC0FDB">
            <w:pPr>
              <w:widowControl/>
              <w:spacing w:line="240" w:lineRule="exact"/>
              <w:ind w:firstLineChars="100" w:firstLine="31680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一、根据住房城乡建设部标准定额司《关于造价工程师职业资格考试有关工作的说明》，从事工程造价业务工作年限包括取得规定学历前、后从事该项工作的时间。通过专业教育评估（认证）院校名单在住房和城乡建设部官方网站已发布。</w:t>
            </w:r>
          </w:p>
          <w:p w:rsidR="00CC0FDB" w:rsidRDefault="00CC0FDB" w:rsidP="00CC0FDB">
            <w:pPr>
              <w:widowControl/>
              <w:spacing w:before="100" w:beforeAutospacing="1" w:after="100" w:afterAutospacing="1" w:line="240" w:lineRule="exact"/>
              <w:ind w:firstLineChars="200" w:firstLine="31680"/>
              <w:jc w:val="left"/>
              <w:rPr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二、已取得造价工程师一种专业职业资格证书</w:t>
            </w:r>
            <w:r>
              <w:rPr>
                <w:rFonts w:hint="eastAsia"/>
                <w:szCs w:val="21"/>
              </w:rPr>
              <w:t>的人员，报名参加其他专业科目考试的，可免考基础科目。考试合格后，核发人力资源社会保障部门统一印制的相应专业考试合格证明。该证明作为注册时增加执业专业类别的依据。</w:t>
            </w:r>
          </w:p>
          <w:p w:rsidR="00CC0FDB" w:rsidRDefault="00CC0FDB" w:rsidP="00CC0FDB">
            <w:pPr>
              <w:widowControl/>
              <w:spacing w:before="100" w:beforeAutospacing="1" w:after="100" w:afterAutospacing="1" w:line="240" w:lineRule="exact"/>
              <w:ind w:firstLineChars="150" w:firstLine="3168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三、具有以下条件之一的，参加一级造价工程师考试可免考基础科目：（一）已取得公路工程造价人员资格证书（甲级）；（二）已取得水运工程造价工程师资格证书；（三）已取得水利工程造价工程师资格证书。</w:t>
            </w:r>
          </w:p>
          <w:p w:rsidR="00CC0FDB" w:rsidRDefault="00CC0FDB">
            <w:pPr>
              <w:widowControl/>
              <w:spacing w:before="100" w:beforeAutospacing="1" w:after="100" w:afterAutospacing="1" w:line="240" w:lineRule="exact"/>
              <w:ind w:firstLine="435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四、申请免考部分科目的人员在考前资格审核时应提供相应材料。</w:t>
            </w:r>
          </w:p>
          <w:p w:rsidR="00CC0FDB" w:rsidRDefault="00CC0FDB">
            <w:pPr>
              <w:widowControl/>
              <w:spacing w:before="100" w:beforeAutospacing="1" w:after="100" w:afterAutospacing="1" w:line="240" w:lineRule="exact"/>
              <w:ind w:firstLine="435"/>
              <w:jc w:val="left"/>
              <w:rPr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五、为保证新旧考试平稳过渡，原参加</w:t>
            </w:r>
            <w:r>
              <w:rPr>
                <w:color w:val="000000"/>
                <w:szCs w:val="21"/>
              </w:rPr>
              <w:t>2017</w:t>
            </w:r>
            <w:r>
              <w:rPr>
                <w:rFonts w:hint="eastAsia"/>
                <w:color w:val="000000"/>
                <w:szCs w:val="21"/>
              </w:rPr>
              <w:t>年度造价工程师职业资格考试，报考全部科目且通过部分科目的应试人员，其考试合格成绩继续有效，并按照</w:t>
            </w:r>
            <w:r>
              <w:rPr>
                <w:color w:val="000000"/>
                <w:szCs w:val="21"/>
              </w:rPr>
              <w:t>4</w:t>
            </w:r>
            <w:r>
              <w:rPr>
                <w:rFonts w:hint="eastAsia"/>
                <w:color w:val="000000"/>
                <w:szCs w:val="21"/>
              </w:rPr>
              <w:t>年为一个周期的办法顺延至</w:t>
            </w:r>
            <w:r>
              <w:rPr>
                <w:color w:val="000000"/>
                <w:szCs w:val="21"/>
              </w:rPr>
              <w:t>2020</w:t>
            </w:r>
            <w:r>
              <w:rPr>
                <w:rFonts w:hint="eastAsia"/>
                <w:color w:val="000000"/>
                <w:szCs w:val="21"/>
              </w:rPr>
              <w:t>年，此部分应试人员原则上不允许变更报考专业，若变更专业则按新应试人员报考。</w:t>
            </w:r>
          </w:p>
          <w:p w:rsidR="00CC0FDB" w:rsidRDefault="00CC0FDB" w:rsidP="00CC0FDB">
            <w:pPr>
              <w:widowControl/>
              <w:spacing w:line="240" w:lineRule="exact"/>
              <w:ind w:firstLineChars="200" w:firstLine="31680"/>
              <w:jc w:val="lef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六、一级造价工程师职业资格考试成绩实行</w:t>
            </w:r>
            <w:r>
              <w:rPr>
                <w:color w:val="000000"/>
                <w:szCs w:val="21"/>
              </w:rPr>
              <w:t>4</w:t>
            </w:r>
            <w:r>
              <w:rPr>
                <w:rFonts w:hint="eastAsia"/>
                <w:color w:val="000000"/>
                <w:szCs w:val="21"/>
              </w:rPr>
              <w:t>年为一个周期的滚动管理。参加</w:t>
            </w:r>
            <w:r>
              <w:rPr>
                <w:color w:val="000000"/>
                <w:szCs w:val="21"/>
              </w:rPr>
              <w:t>4</w:t>
            </w:r>
            <w:r>
              <w:rPr>
                <w:rFonts w:hint="eastAsia"/>
                <w:color w:val="000000"/>
                <w:szCs w:val="21"/>
              </w:rPr>
              <w:t>个科目考试（级别为考全科）的人员须在连续</w:t>
            </w:r>
            <w:r>
              <w:rPr>
                <w:color w:val="000000"/>
                <w:szCs w:val="21"/>
              </w:rPr>
              <w:t>4</w:t>
            </w:r>
            <w:r>
              <w:rPr>
                <w:rFonts w:hint="eastAsia"/>
                <w:color w:val="000000"/>
                <w:szCs w:val="21"/>
              </w:rPr>
              <w:t>个考试年度内通过应试科目，参加</w:t>
            </w:r>
            <w:r>
              <w:rPr>
                <w:color w:val="000000"/>
                <w:szCs w:val="21"/>
              </w:rPr>
              <w:t>2</w:t>
            </w:r>
            <w:r>
              <w:rPr>
                <w:rFonts w:hint="eastAsia"/>
                <w:color w:val="000000"/>
                <w:szCs w:val="21"/>
              </w:rPr>
              <w:t>个科目考试（级别为免二科）的符合免试基础科目人员须在</w:t>
            </w:r>
            <w:r>
              <w:rPr>
                <w:color w:val="000000"/>
                <w:szCs w:val="21"/>
              </w:rPr>
              <w:t>2</w:t>
            </w:r>
            <w:r>
              <w:rPr>
                <w:rFonts w:hint="eastAsia"/>
                <w:color w:val="000000"/>
                <w:szCs w:val="21"/>
              </w:rPr>
              <w:t>个考试年度内通过应试科目，方可获得资格证书。已获得资格证书，报名参加其他专业科目考试（级别为增报专业）的，只须参加专业科目且在</w:t>
            </w:r>
            <w:r>
              <w:rPr>
                <w:color w:val="000000"/>
                <w:szCs w:val="21"/>
              </w:rPr>
              <w:t>2</w:t>
            </w:r>
            <w:r>
              <w:rPr>
                <w:rFonts w:hint="eastAsia"/>
                <w:color w:val="000000"/>
                <w:szCs w:val="21"/>
              </w:rPr>
              <w:t>个考试年度内通过的，方可获得相应专业考试合格证明。</w:t>
            </w:r>
          </w:p>
          <w:p w:rsidR="00CC0FDB" w:rsidRDefault="00CC0FDB" w:rsidP="00CC0FDB">
            <w:pPr>
              <w:widowControl/>
              <w:spacing w:before="100" w:beforeAutospacing="1" w:after="100" w:afterAutospacing="1" w:line="240" w:lineRule="exact"/>
              <w:ind w:firstLineChars="150" w:firstLine="31680"/>
              <w:jc w:val="lef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七、专业技术人员取得一级造价工程师职业资格，可认定其具备工程师职称，并可作为申报高一级职称的条件。</w:t>
            </w:r>
          </w:p>
          <w:p w:rsidR="00CC0FDB" w:rsidRDefault="00CC0FDB" w:rsidP="00CC0FDB">
            <w:pPr>
              <w:widowControl/>
              <w:spacing w:line="240" w:lineRule="exact"/>
              <w:ind w:firstLineChars="200" w:firstLine="31680"/>
              <w:jc w:val="left"/>
              <w:rPr>
                <w:color w:val="FF0000"/>
                <w:szCs w:val="21"/>
              </w:rPr>
            </w:pPr>
          </w:p>
        </w:tc>
      </w:tr>
      <w:tr w:rsidR="00CC0FDB">
        <w:trPr>
          <w:gridAfter w:val="1"/>
          <w:wAfter w:w="17" w:type="dxa"/>
          <w:trHeight w:hRule="exact" w:val="737"/>
          <w:jc w:val="center"/>
        </w:trPr>
        <w:tc>
          <w:tcPr>
            <w:tcW w:w="841" w:type="dxa"/>
            <w:vMerge w:val="restart"/>
          </w:tcPr>
          <w:p w:rsidR="00CC0FDB" w:rsidRDefault="00CC0FDB">
            <w:pPr>
              <w:widowControl/>
              <w:jc w:val="center"/>
              <w:rPr>
                <w:b/>
                <w:bCs/>
                <w:color w:val="000000"/>
                <w:kern w:val="0"/>
                <w:szCs w:val="21"/>
              </w:rPr>
            </w:pPr>
          </w:p>
          <w:p w:rsidR="00CC0FDB" w:rsidRDefault="00CC0FDB">
            <w:pPr>
              <w:widowControl/>
              <w:jc w:val="center"/>
              <w:rPr>
                <w:b/>
                <w:bCs/>
                <w:color w:val="000000"/>
                <w:kern w:val="0"/>
                <w:szCs w:val="21"/>
              </w:rPr>
            </w:pPr>
          </w:p>
          <w:p w:rsidR="00CC0FDB" w:rsidRDefault="00CC0FDB">
            <w:pPr>
              <w:widowControl/>
              <w:jc w:val="center"/>
              <w:rPr>
                <w:b/>
                <w:bCs/>
                <w:color w:val="000000"/>
                <w:kern w:val="0"/>
                <w:szCs w:val="21"/>
              </w:rPr>
            </w:pPr>
          </w:p>
          <w:p w:rsidR="00CC0FDB" w:rsidRDefault="00CC0FDB">
            <w:pPr>
              <w:widowControl/>
              <w:jc w:val="center"/>
              <w:rPr>
                <w:b/>
                <w:bCs/>
                <w:color w:val="000000"/>
                <w:kern w:val="0"/>
                <w:szCs w:val="21"/>
              </w:rPr>
            </w:pPr>
          </w:p>
          <w:p w:rsidR="00CC0FDB" w:rsidRDefault="00CC0FDB">
            <w:pPr>
              <w:jc w:val="center"/>
              <w:rPr>
                <w:rFonts w:eastAsia="黑体"/>
                <w:b/>
                <w:szCs w:val="21"/>
              </w:rPr>
            </w:pPr>
            <w:r>
              <w:rPr>
                <w:rFonts w:eastAsia="黑体" w:hint="eastAsia"/>
                <w:b/>
                <w:szCs w:val="21"/>
              </w:rPr>
              <w:t>注</w:t>
            </w:r>
          </w:p>
          <w:p w:rsidR="00CC0FDB" w:rsidRDefault="00CC0FDB">
            <w:pPr>
              <w:jc w:val="center"/>
              <w:rPr>
                <w:rFonts w:eastAsia="黑体"/>
                <w:b/>
                <w:szCs w:val="21"/>
              </w:rPr>
            </w:pPr>
            <w:r>
              <w:rPr>
                <w:rFonts w:eastAsia="黑体" w:hint="eastAsia"/>
                <w:b/>
                <w:szCs w:val="21"/>
              </w:rPr>
              <w:t>册</w:t>
            </w:r>
          </w:p>
          <w:p w:rsidR="00CC0FDB" w:rsidRDefault="00CC0FDB">
            <w:pPr>
              <w:jc w:val="center"/>
              <w:rPr>
                <w:rFonts w:eastAsia="黑体"/>
                <w:b/>
                <w:szCs w:val="21"/>
              </w:rPr>
            </w:pPr>
            <w:r>
              <w:rPr>
                <w:rFonts w:eastAsia="黑体" w:hint="eastAsia"/>
                <w:b/>
                <w:szCs w:val="21"/>
              </w:rPr>
              <w:t>城</w:t>
            </w:r>
          </w:p>
          <w:p w:rsidR="00CC0FDB" w:rsidRDefault="00CC0FDB">
            <w:pPr>
              <w:jc w:val="center"/>
              <w:rPr>
                <w:rFonts w:eastAsia="黑体"/>
                <w:b/>
                <w:szCs w:val="21"/>
              </w:rPr>
            </w:pPr>
            <w:r>
              <w:rPr>
                <w:rFonts w:eastAsia="黑体" w:hint="eastAsia"/>
                <w:b/>
                <w:szCs w:val="21"/>
              </w:rPr>
              <w:t>乡</w:t>
            </w:r>
          </w:p>
          <w:p w:rsidR="00CC0FDB" w:rsidRDefault="00CC0FDB">
            <w:pPr>
              <w:jc w:val="center"/>
              <w:rPr>
                <w:rFonts w:eastAsia="黑体"/>
                <w:b/>
                <w:szCs w:val="21"/>
              </w:rPr>
            </w:pPr>
            <w:r>
              <w:rPr>
                <w:rFonts w:eastAsia="黑体" w:hint="eastAsia"/>
                <w:b/>
                <w:szCs w:val="21"/>
              </w:rPr>
              <w:t>规</w:t>
            </w:r>
          </w:p>
          <w:p w:rsidR="00CC0FDB" w:rsidRDefault="00CC0FDB">
            <w:pPr>
              <w:jc w:val="center"/>
              <w:rPr>
                <w:rFonts w:eastAsia="黑体"/>
                <w:b/>
                <w:szCs w:val="21"/>
              </w:rPr>
            </w:pPr>
            <w:r>
              <w:rPr>
                <w:rFonts w:eastAsia="黑体" w:hint="eastAsia"/>
                <w:b/>
                <w:szCs w:val="21"/>
              </w:rPr>
              <w:t>划</w:t>
            </w:r>
          </w:p>
          <w:p w:rsidR="00CC0FDB" w:rsidRDefault="00CC0FDB">
            <w:pPr>
              <w:widowControl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>
              <w:rPr>
                <w:rFonts w:eastAsia="黑体" w:hint="eastAsia"/>
                <w:b/>
                <w:szCs w:val="21"/>
              </w:rPr>
              <w:t>师</w:t>
            </w:r>
          </w:p>
          <w:p w:rsidR="00CC0FDB" w:rsidRDefault="00CC0FDB">
            <w:pPr>
              <w:widowControl/>
              <w:jc w:val="center"/>
              <w:rPr>
                <w:b/>
                <w:bCs/>
                <w:color w:val="000000"/>
                <w:kern w:val="0"/>
                <w:szCs w:val="21"/>
              </w:rPr>
            </w:pPr>
          </w:p>
          <w:p w:rsidR="00CC0FDB" w:rsidRDefault="00CC0FDB">
            <w:pPr>
              <w:widowControl/>
              <w:jc w:val="center"/>
              <w:rPr>
                <w:b/>
                <w:bCs/>
                <w:color w:val="000000"/>
                <w:kern w:val="0"/>
                <w:szCs w:val="21"/>
              </w:rPr>
            </w:pPr>
          </w:p>
          <w:p w:rsidR="00CC0FDB" w:rsidRDefault="00CC0FDB">
            <w:pPr>
              <w:widowControl/>
              <w:jc w:val="center"/>
              <w:rPr>
                <w:b/>
                <w:bCs/>
                <w:color w:val="000000"/>
                <w:kern w:val="0"/>
                <w:szCs w:val="21"/>
              </w:rPr>
            </w:pPr>
          </w:p>
          <w:p w:rsidR="00CC0FDB" w:rsidRDefault="00CC0FDB">
            <w:pPr>
              <w:widowControl/>
              <w:jc w:val="center"/>
              <w:rPr>
                <w:b/>
                <w:bCs/>
                <w:color w:val="000000"/>
                <w:kern w:val="0"/>
                <w:szCs w:val="21"/>
              </w:rPr>
            </w:pPr>
          </w:p>
          <w:p w:rsidR="00CC0FDB" w:rsidRDefault="00CC0FDB">
            <w:pPr>
              <w:widowControl/>
              <w:jc w:val="center"/>
              <w:rPr>
                <w:b/>
                <w:bCs/>
                <w:color w:val="000000"/>
                <w:kern w:val="0"/>
                <w:szCs w:val="21"/>
              </w:rPr>
            </w:pPr>
          </w:p>
          <w:p w:rsidR="00CC0FDB" w:rsidRDefault="00CC0FDB">
            <w:pPr>
              <w:widowControl/>
              <w:jc w:val="center"/>
              <w:rPr>
                <w:b/>
                <w:bCs/>
                <w:color w:val="000000"/>
                <w:kern w:val="0"/>
                <w:szCs w:val="21"/>
              </w:rPr>
            </w:pPr>
          </w:p>
          <w:p w:rsidR="00CC0FDB" w:rsidRDefault="00CC0FDB">
            <w:pPr>
              <w:widowControl/>
              <w:jc w:val="center"/>
              <w:rPr>
                <w:b/>
                <w:bCs/>
                <w:color w:val="000000"/>
                <w:kern w:val="0"/>
                <w:szCs w:val="21"/>
              </w:rPr>
            </w:pPr>
          </w:p>
          <w:p w:rsidR="00CC0FDB" w:rsidRDefault="00CC0FDB">
            <w:pPr>
              <w:widowControl/>
              <w:jc w:val="center"/>
              <w:rPr>
                <w:b/>
                <w:bCs/>
                <w:color w:val="000000"/>
                <w:kern w:val="0"/>
                <w:szCs w:val="21"/>
              </w:rPr>
            </w:pPr>
          </w:p>
          <w:p w:rsidR="00CC0FDB" w:rsidRDefault="00CC0FDB">
            <w:pPr>
              <w:widowControl/>
              <w:jc w:val="center"/>
              <w:rPr>
                <w:b/>
                <w:bCs/>
                <w:color w:val="000000"/>
                <w:kern w:val="0"/>
                <w:szCs w:val="21"/>
              </w:rPr>
            </w:pPr>
          </w:p>
          <w:p w:rsidR="00CC0FDB" w:rsidRDefault="00CC0FDB">
            <w:pPr>
              <w:widowControl/>
              <w:jc w:val="center"/>
              <w:rPr>
                <w:b/>
                <w:bCs/>
                <w:color w:val="000000"/>
                <w:kern w:val="0"/>
                <w:szCs w:val="21"/>
              </w:rPr>
            </w:pPr>
          </w:p>
          <w:p w:rsidR="00CC0FDB" w:rsidRDefault="00CC0FDB">
            <w:pPr>
              <w:widowControl/>
              <w:jc w:val="center"/>
              <w:rPr>
                <w:b/>
                <w:bCs/>
                <w:color w:val="000000"/>
                <w:kern w:val="0"/>
                <w:szCs w:val="21"/>
              </w:rPr>
            </w:pPr>
          </w:p>
          <w:p w:rsidR="00CC0FDB" w:rsidRDefault="00CC0FDB">
            <w:pPr>
              <w:jc w:val="center"/>
              <w:rPr>
                <w:rFonts w:eastAsia="黑体"/>
                <w:b/>
                <w:szCs w:val="21"/>
              </w:rPr>
            </w:pPr>
          </w:p>
          <w:p w:rsidR="00CC0FDB" w:rsidRDefault="00CC0FDB">
            <w:pPr>
              <w:jc w:val="center"/>
              <w:rPr>
                <w:rFonts w:eastAsia="黑体"/>
                <w:b/>
                <w:szCs w:val="21"/>
              </w:rPr>
            </w:pPr>
            <w:r>
              <w:rPr>
                <w:rFonts w:eastAsia="黑体" w:hint="eastAsia"/>
                <w:b/>
                <w:szCs w:val="21"/>
              </w:rPr>
              <w:t>注</w:t>
            </w:r>
          </w:p>
          <w:p w:rsidR="00CC0FDB" w:rsidRDefault="00CC0FDB">
            <w:pPr>
              <w:jc w:val="center"/>
              <w:rPr>
                <w:rFonts w:eastAsia="黑体"/>
                <w:b/>
                <w:szCs w:val="21"/>
              </w:rPr>
            </w:pPr>
            <w:r>
              <w:rPr>
                <w:rFonts w:eastAsia="黑体" w:hint="eastAsia"/>
                <w:b/>
                <w:szCs w:val="21"/>
              </w:rPr>
              <w:t>册</w:t>
            </w:r>
          </w:p>
          <w:p w:rsidR="00CC0FDB" w:rsidRDefault="00CC0FDB">
            <w:pPr>
              <w:jc w:val="center"/>
              <w:rPr>
                <w:rFonts w:eastAsia="黑体"/>
                <w:b/>
                <w:szCs w:val="21"/>
              </w:rPr>
            </w:pPr>
            <w:r>
              <w:rPr>
                <w:rFonts w:eastAsia="黑体" w:hint="eastAsia"/>
                <w:b/>
                <w:szCs w:val="21"/>
              </w:rPr>
              <w:t>城</w:t>
            </w:r>
          </w:p>
          <w:p w:rsidR="00CC0FDB" w:rsidRDefault="00CC0FDB">
            <w:pPr>
              <w:jc w:val="center"/>
              <w:rPr>
                <w:rFonts w:eastAsia="黑体"/>
                <w:b/>
                <w:szCs w:val="21"/>
              </w:rPr>
            </w:pPr>
            <w:r>
              <w:rPr>
                <w:rFonts w:eastAsia="黑体" w:hint="eastAsia"/>
                <w:b/>
                <w:szCs w:val="21"/>
              </w:rPr>
              <w:t>乡</w:t>
            </w:r>
          </w:p>
          <w:p w:rsidR="00CC0FDB" w:rsidRDefault="00CC0FDB">
            <w:pPr>
              <w:jc w:val="center"/>
              <w:rPr>
                <w:rFonts w:eastAsia="黑体"/>
                <w:b/>
                <w:szCs w:val="21"/>
              </w:rPr>
            </w:pPr>
            <w:r>
              <w:rPr>
                <w:rFonts w:eastAsia="黑体" w:hint="eastAsia"/>
                <w:b/>
                <w:szCs w:val="21"/>
              </w:rPr>
              <w:t>规</w:t>
            </w:r>
          </w:p>
          <w:p w:rsidR="00CC0FDB" w:rsidRDefault="00CC0FDB">
            <w:pPr>
              <w:jc w:val="center"/>
              <w:rPr>
                <w:rFonts w:eastAsia="黑体"/>
                <w:b/>
                <w:szCs w:val="21"/>
              </w:rPr>
            </w:pPr>
            <w:r>
              <w:rPr>
                <w:rFonts w:eastAsia="黑体" w:hint="eastAsia"/>
                <w:b/>
                <w:szCs w:val="21"/>
              </w:rPr>
              <w:t>划</w:t>
            </w:r>
          </w:p>
          <w:p w:rsidR="00CC0FDB" w:rsidRDefault="00CC0FDB">
            <w:pPr>
              <w:jc w:val="center"/>
              <w:rPr>
                <w:b/>
                <w:szCs w:val="21"/>
              </w:rPr>
            </w:pPr>
            <w:r>
              <w:rPr>
                <w:rFonts w:eastAsia="黑体" w:hint="eastAsia"/>
                <w:b/>
                <w:szCs w:val="21"/>
              </w:rPr>
              <w:t>师</w:t>
            </w:r>
          </w:p>
        </w:tc>
        <w:tc>
          <w:tcPr>
            <w:tcW w:w="4223" w:type="dxa"/>
            <w:gridSpan w:val="7"/>
            <w:vAlign w:val="center"/>
          </w:tcPr>
          <w:p w:rsidR="00CC0FDB" w:rsidRDefault="00CC0FDB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取得城乡规划专业大学专科学历</w:t>
            </w:r>
          </w:p>
        </w:tc>
        <w:tc>
          <w:tcPr>
            <w:tcW w:w="4907" w:type="dxa"/>
            <w:gridSpan w:val="3"/>
            <w:vAlign w:val="center"/>
          </w:tcPr>
          <w:p w:rsidR="00CC0FDB" w:rsidRDefault="00CC0FDB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从事城乡规划业务工作满</w:t>
            </w:r>
            <w:r>
              <w:rPr>
                <w:color w:val="000000"/>
                <w:kern w:val="0"/>
                <w:szCs w:val="21"/>
              </w:rPr>
              <w:t>6</w:t>
            </w:r>
            <w:r>
              <w:rPr>
                <w:rFonts w:hint="eastAsia"/>
                <w:color w:val="000000"/>
                <w:kern w:val="0"/>
                <w:szCs w:val="21"/>
              </w:rPr>
              <w:t>年</w:t>
            </w:r>
          </w:p>
        </w:tc>
      </w:tr>
      <w:tr w:rsidR="00CC0FDB">
        <w:trPr>
          <w:gridAfter w:val="1"/>
          <w:wAfter w:w="17" w:type="dxa"/>
          <w:trHeight w:hRule="exact" w:val="737"/>
          <w:jc w:val="center"/>
        </w:trPr>
        <w:tc>
          <w:tcPr>
            <w:tcW w:w="841" w:type="dxa"/>
            <w:vMerge/>
          </w:tcPr>
          <w:p w:rsidR="00CC0FDB" w:rsidRDefault="00CC0FDB">
            <w:pPr>
              <w:rPr>
                <w:b/>
                <w:szCs w:val="21"/>
              </w:rPr>
            </w:pPr>
          </w:p>
        </w:tc>
        <w:tc>
          <w:tcPr>
            <w:tcW w:w="4223" w:type="dxa"/>
            <w:gridSpan w:val="7"/>
            <w:vAlign w:val="center"/>
          </w:tcPr>
          <w:p w:rsidR="00CC0FDB" w:rsidRDefault="00CC0FDB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取得城乡规划专业大学本科学历或学位，或取得建筑学学士学位（专业学位）</w:t>
            </w:r>
          </w:p>
        </w:tc>
        <w:tc>
          <w:tcPr>
            <w:tcW w:w="4907" w:type="dxa"/>
            <w:gridSpan w:val="3"/>
            <w:vAlign w:val="center"/>
          </w:tcPr>
          <w:p w:rsidR="00CC0FDB" w:rsidRDefault="00CC0FDB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从事城乡规划业务工作满</w:t>
            </w:r>
            <w:r>
              <w:rPr>
                <w:color w:val="000000"/>
                <w:kern w:val="0"/>
                <w:szCs w:val="21"/>
              </w:rPr>
              <w:t>4</w:t>
            </w:r>
            <w:r>
              <w:rPr>
                <w:rFonts w:hint="eastAsia"/>
                <w:color w:val="000000"/>
                <w:kern w:val="0"/>
                <w:szCs w:val="21"/>
              </w:rPr>
              <w:t>年</w:t>
            </w:r>
          </w:p>
        </w:tc>
      </w:tr>
      <w:tr w:rsidR="00CC0FDB">
        <w:trPr>
          <w:gridAfter w:val="1"/>
          <w:wAfter w:w="17" w:type="dxa"/>
          <w:trHeight w:hRule="exact" w:val="737"/>
          <w:jc w:val="center"/>
        </w:trPr>
        <w:tc>
          <w:tcPr>
            <w:tcW w:w="841" w:type="dxa"/>
            <w:vMerge/>
          </w:tcPr>
          <w:p w:rsidR="00CC0FDB" w:rsidRDefault="00CC0FDB">
            <w:pPr>
              <w:rPr>
                <w:b/>
                <w:szCs w:val="21"/>
              </w:rPr>
            </w:pPr>
          </w:p>
        </w:tc>
        <w:tc>
          <w:tcPr>
            <w:tcW w:w="4223" w:type="dxa"/>
            <w:gridSpan w:val="7"/>
            <w:vAlign w:val="center"/>
          </w:tcPr>
          <w:p w:rsidR="00CC0FDB" w:rsidRDefault="00CC0FDB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取得通过专业评估（认证）的城乡规划专业大学本科学历或学位</w:t>
            </w:r>
          </w:p>
        </w:tc>
        <w:tc>
          <w:tcPr>
            <w:tcW w:w="4907" w:type="dxa"/>
            <w:gridSpan w:val="3"/>
            <w:vAlign w:val="center"/>
          </w:tcPr>
          <w:p w:rsidR="00CC0FDB" w:rsidRDefault="00CC0FDB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从事城乡规划业务工作满</w:t>
            </w:r>
            <w:r>
              <w:rPr>
                <w:color w:val="000000"/>
                <w:szCs w:val="21"/>
              </w:rPr>
              <w:t>3</w:t>
            </w:r>
            <w:r>
              <w:rPr>
                <w:rFonts w:hint="eastAsia"/>
                <w:color w:val="000000"/>
                <w:szCs w:val="21"/>
              </w:rPr>
              <w:t>年</w:t>
            </w:r>
          </w:p>
        </w:tc>
      </w:tr>
      <w:tr w:rsidR="00CC0FDB">
        <w:trPr>
          <w:gridAfter w:val="1"/>
          <w:wAfter w:w="17" w:type="dxa"/>
          <w:trHeight w:hRule="exact" w:val="737"/>
          <w:jc w:val="center"/>
        </w:trPr>
        <w:tc>
          <w:tcPr>
            <w:tcW w:w="841" w:type="dxa"/>
            <w:vMerge/>
          </w:tcPr>
          <w:p w:rsidR="00CC0FDB" w:rsidRDefault="00CC0FDB">
            <w:pPr>
              <w:rPr>
                <w:b/>
                <w:szCs w:val="21"/>
              </w:rPr>
            </w:pPr>
          </w:p>
        </w:tc>
        <w:tc>
          <w:tcPr>
            <w:tcW w:w="4223" w:type="dxa"/>
            <w:gridSpan w:val="7"/>
            <w:vAlign w:val="center"/>
          </w:tcPr>
          <w:p w:rsidR="00CC0FDB" w:rsidRDefault="00CC0FDB">
            <w:pPr>
              <w:widowControl/>
              <w:rPr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取得城乡规划专业硕士学位，或取得建筑学硕士学位（专业学位）</w:t>
            </w:r>
          </w:p>
        </w:tc>
        <w:tc>
          <w:tcPr>
            <w:tcW w:w="4907" w:type="dxa"/>
            <w:gridSpan w:val="3"/>
            <w:vAlign w:val="center"/>
          </w:tcPr>
          <w:p w:rsidR="00CC0FDB" w:rsidRDefault="00CC0FDB">
            <w:pPr>
              <w:widowControl/>
              <w:rPr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从事城乡规划业务工作满</w:t>
            </w:r>
            <w:r>
              <w:rPr>
                <w:color w:val="000000"/>
                <w:szCs w:val="21"/>
              </w:rPr>
              <w:t>2</w:t>
            </w:r>
            <w:r>
              <w:rPr>
                <w:rFonts w:hint="eastAsia"/>
                <w:color w:val="000000"/>
                <w:szCs w:val="21"/>
              </w:rPr>
              <w:t>年</w:t>
            </w:r>
          </w:p>
        </w:tc>
      </w:tr>
      <w:tr w:rsidR="00CC0FDB">
        <w:trPr>
          <w:gridAfter w:val="1"/>
          <w:wAfter w:w="17" w:type="dxa"/>
          <w:trHeight w:hRule="exact" w:val="943"/>
          <w:jc w:val="center"/>
        </w:trPr>
        <w:tc>
          <w:tcPr>
            <w:tcW w:w="841" w:type="dxa"/>
            <w:vMerge/>
          </w:tcPr>
          <w:p w:rsidR="00CC0FDB" w:rsidRDefault="00CC0FDB">
            <w:pPr>
              <w:rPr>
                <w:b/>
                <w:szCs w:val="21"/>
              </w:rPr>
            </w:pPr>
          </w:p>
        </w:tc>
        <w:tc>
          <w:tcPr>
            <w:tcW w:w="4223" w:type="dxa"/>
            <w:gridSpan w:val="7"/>
            <w:vAlign w:val="center"/>
          </w:tcPr>
          <w:p w:rsidR="00CC0FDB" w:rsidRDefault="00CC0FDB">
            <w:pPr>
              <w:widowControl/>
              <w:rPr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取得通过专业评估（认证）的城乡规划专业硕士学位或城市规划硕士学位（专业学位），或取得城乡规划专业博士学位</w:t>
            </w:r>
          </w:p>
        </w:tc>
        <w:tc>
          <w:tcPr>
            <w:tcW w:w="4907" w:type="dxa"/>
            <w:gridSpan w:val="3"/>
            <w:vAlign w:val="center"/>
          </w:tcPr>
          <w:p w:rsidR="00CC0FDB" w:rsidRDefault="00CC0FDB">
            <w:pPr>
              <w:widowControl/>
              <w:rPr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从事城乡规划业务工作满</w:t>
            </w:r>
            <w:r>
              <w:rPr>
                <w:color w:val="000000"/>
                <w:szCs w:val="21"/>
              </w:rPr>
              <w:t>1</w:t>
            </w:r>
            <w:r>
              <w:rPr>
                <w:rFonts w:hint="eastAsia"/>
                <w:color w:val="000000"/>
                <w:szCs w:val="21"/>
              </w:rPr>
              <w:t>年</w:t>
            </w:r>
          </w:p>
        </w:tc>
      </w:tr>
      <w:tr w:rsidR="00CC0FDB">
        <w:trPr>
          <w:gridAfter w:val="1"/>
          <w:wAfter w:w="17" w:type="dxa"/>
          <w:trHeight w:hRule="exact" w:val="2217"/>
          <w:jc w:val="center"/>
        </w:trPr>
        <w:tc>
          <w:tcPr>
            <w:tcW w:w="841" w:type="dxa"/>
            <w:vMerge/>
          </w:tcPr>
          <w:p w:rsidR="00CC0FDB" w:rsidRDefault="00CC0FDB">
            <w:pPr>
              <w:rPr>
                <w:b/>
                <w:szCs w:val="21"/>
              </w:rPr>
            </w:pPr>
          </w:p>
        </w:tc>
        <w:tc>
          <w:tcPr>
            <w:tcW w:w="9130" w:type="dxa"/>
            <w:gridSpan w:val="10"/>
            <w:vAlign w:val="center"/>
          </w:tcPr>
          <w:p w:rsidR="00CC0FDB" w:rsidRDefault="00CC0FDB">
            <w:pPr>
              <w:widowControl/>
              <w:rPr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除上述规定的情形外，取得其他专业的相应学历或者学位的人员，从事城乡规划业务工作年限相应增加</w:t>
            </w:r>
            <w:r>
              <w:rPr>
                <w:color w:val="000000"/>
                <w:szCs w:val="21"/>
              </w:rPr>
              <w:t>1</w:t>
            </w:r>
            <w:r>
              <w:rPr>
                <w:rFonts w:hint="eastAsia"/>
                <w:color w:val="000000"/>
                <w:szCs w:val="21"/>
              </w:rPr>
              <w:t>年。</w:t>
            </w:r>
          </w:p>
        </w:tc>
      </w:tr>
      <w:tr w:rsidR="00CC0FDB">
        <w:trPr>
          <w:gridAfter w:val="1"/>
          <w:wAfter w:w="17" w:type="dxa"/>
          <w:trHeight w:hRule="exact" w:val="7932"/>
          <w:jc w:val="center"/>
        </w:trPr>
        <w:tc>
          <w:tcPr>
            <w:tcW w:w="841" w:type="dxa"/>
            <w:vMerge/>
          </w:tcPr>
          <w:p w:rsidR="00CC0FDB" w:rsidRDefault="00CC0FDB">
            <w:pPr>
              <w:rPr>
                <w:b/>
                <w:szCs w:val="21"/>
              </w:rPr>
            </w:pPr>
          </w:p>
        </w:tc>
        <w:tc>
          <w:tcPr>
            <w:tcW w:w="9130" w:type="dxa"/>
            <w:gridSpan w:val="10"/>
            <w:vAlign w:val="center"/>
          </w:tcPr>
          <w:p w:rsidR="00CC0FDB" w:rsidRDefault="00CC0FDB" w:rsidP="00CC0FDB">
            <w:pPr>
              <w:pStyle w:val="NormalWeb"/>
              <w:shd w:val="clear" w:color="auto" w:fill="FFFFFF"/>
              <w:spacing w:before="0" w:beforeAutospacing="0" w:after="0" w:afterAutospacing="0" w:line="375" w:lineRule="atLeast"/>
              <w:ind w:firstLineChars="100" w:firstLine="31680"/>
              <w:rPr>
                <w:rFonts w:ascii="Times New Roman" w:hAnsi="Times New Roman" w:cs="Times New Roman"/>
                <w:color w:val="000000"/>
                <w:kern w:val="2"/>
                <w:sz w:val="21"/>
                <w:szCs w:val="21"/>
              </w:rPr>
            </w:pPr>
            <w:bookmarkStart w:id="2" w:name="_GoBack"/>
            <w:bookmarkEnd w:id="2"/>
          </w:p>
          <w:p w:rsidR="00CC0FDB" w:rsidRDefault="00CC0FDB" w:rsidP="00CC0FDB">
            <w:pPr>
              <w:pStyle w:val="NormalWeb"/>
              <w:shd w:val="clear" w:color="auto" w:fill="FFFFFF"/>
              <w:spacing w:before="0" w:beforeAutospacing="0" w:after="0" w:afterAutospacing="0" w:line="375" w:lineRule="atLeast"/>
              <w:ind w:firstLineChars="100" w:firstLine="31680"/>
              <w:rPr>
                <w:rFonts w:ascii="Times New Roman" w:hAnsi="Times New Roman" w:cs="Times New Roman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21"/>
                <w:szCs w:val="21"/>
              </w:rPr>
              <w:t>一、考试成绩实行</w:t>
            </w:r>
            <w:r>
              <w:rPr>
                <w:rFonts w:ascii="Times New Roman" w:hAnsi="Times New Roman" w:cs="Times New Roman"/>
                <w:color w:val="000000"/>
                <w:kern w:val="2"/>
                <w:sz w:val="21"/>
                <w:szCs w:val="21"/>
              </w:rPr>
              <w:t>4</w:t>
            </w:r>
            <w:r>
              <w:rPr>
                <w:rFonts w:ascii="Times New Roman" w:hAnsi="Times New Roman" w:cs="Times New Roman" w:hint="eastAsia"/>
                <w:color w:val="000000"/>
                <w:kern w:val="2"/>
                <w:sz w:val="21"/>
                <w:szCs w:val="21"/>
              </w:rPr>
              <w:t>年为一个周期的滚动管理办法，在连续的</w:t>
            </w:r>
            <w:r>
              <w:rPr>
                <w:rFonts w:ascii="Times New Roman" w:hAnsi="Times New Roman" w:cs="Times New Roman"/>
                <w:color w:val="000000"/>
                <w:kern w:val="2"/>
                <w:sz w:val="21"/>
                <w:szCs w:val="21"/>
              </w:rPr>
              <w:t>4</w:t>
            </w:r>
            <w:r>
              <w:rPr>
                <w:rFonts w:ascii="Times New Roman" w:hAnsi="Times New Roman" w:cs="Times New Roman" w:hint="eastAsia"/>
                <w:color w:val="000000"/>
                <w:kern w:val="2"/>
                <w:sz w:val="21"/>
                <w:szCs w:val="21"/>
              </w:rPr>
              <w:t>个考试年度内参加应试科目的考试并合格，方可取得注册城乡规划师资格证书。</w:t>
            </w:r>
          </w:p>
          <w:p w:rsidR="00CC0FDB" w:rsidRDefault="00CC0FDB" w:rsidP="00CC0FDB">
            <w:pPr>
              <w:pStyle w:val="NormalWeb"/>
              <w:shd w:val="clear" w:color="auto" w:fill="FFFFFF"/>
              <w:spacing w:before="0" w:beforeAutospacing="0" w:after="0" w:afterAutospacing="0" w:line="375" w:lineRule="atLeast"/>
              <w:ind w:firstLineChars="100" w:firstLine="31680"/>
              <w:rPr>
                <w:rFonts w:ascii="Times New Roman" w:hAnsi="Times New Roman" w:cs="Times New Roman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21"/>
                <w:szCs w:val="21"/>
              </w:rPr>
              <w:t>二、通过全国统一考试取得一级注册建筑师资格证书并符合《注册城乡规划师职业资格制度规定》（以下简称《规定》）中注册城乡规划师职业资格考试报名条件的，可免试《城乡规划原理》和《城乡规划相关知识》科目，只参加《城乡规划管理与法规》和《城乡规划实务》</w:t>
            </w:r>
            <w:r>
              <w:rPr>
                <w:rFonts w:ascii="Times New Roman" w:hAnsi="Times New Roman" w:cs="Times New Roman"/>
                <w:color w:val="000000"/>
                <w:kern w:val="2"/>
                <w:sz w:val="21"/>
                <w:szCs w:val="21"/>
              </w:rPr>
              <w:t>2</w:t>
            </w:r>
            <w:r>
              <w:rPr>
                <w:rFonts w:ascii="Times New Roman" w:hAnsi="Times New Roman" w:cs="Times New Roman" w:hint="eastAsia"/>
                <w:color w:val="000000"/>
                <w:kern w:val="2"/>
                <w:sz w:val="21"/>
                <w:szCs w:val="21"/>
              </w:rPr>
              <w:t>个科目的考试。在连续的</w:t>
            </w:r>
            <w:r>
              <w:rPr>
                <w:rFonts w:ascii="Times New Roman" w:hAnsi="Times New Roman" w:cs="Times New Roman"/>
                <w:color w:val="000000"/>
                <w:kern w:val="2"/>
                <w:sz w:val="21"/>
                <w:szCs w:val="21"/>
              </w:rPr>
              <w:t>2</w:t>
            </w:r>
            <w:r>
              <w:rPr>
                <w:rFonts w:ascii="Times New Roman" w:hAnsi="Times New Roman" w:cs="Times New Roman" w:hint="eastAsia"/>
                <w:color w:val="000000"/>
                <w:kern w:val="2"/>
                <w:sz w:val="21"/>
                <w:szCs w:val="21"/>
              </w:rPr>
              <w:t>个考试年度内参加上述科目考试并合格，可取得注册城乡规划师职业资格证书。</w:t>
            </w:r>
          </w:p>
          <w:p w:rsidR="00CC0FDB" w:rsidRDefault="00CC0FDB" w:rsidP="00CC0FDB">
            <w:pPr>
              <w:pStyle w:val="NormalWeb"/>
              <w:shd w:val="clear" w:color="auto" w:fill="FFFFFF"/>
              <w:spacing w:before="0" w:beforeAutospacing="0" w:after="0" w:afterAutospacing="0" w:line="375" w:lineRule="atLeast"/>
              <w:ind w:firstLineChars="100" w:firstLine="31680"/>
              <w:rPr>
                <w:rFonts w:ascii="Times New Roman" w:hAnsi="Times New Roman" w:cs="Times New Roman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21"/>
                <w:szCs w:val="21"/>
              </w:rPr>
              <w:t>三、符合《规定》第八条第（五）项报名条件的，可免试《城乡规划原理》科目，只参加《城乡规划管理与法规》、《城乡规划相关知识》和《城乡规划实务》</w:t>
            </w:r>
            <w:r>
              <w:rPr>
                <w:rFonts w:ascii="Times New Roman" w:hAnsi="Times New Roman" w:cs="Times New Roman"/>
                <w:color w:val="000000"/>
                <w:kern w:val="2"/>
                <w:sz w:val="21"/>
                <w:szCs w:val="21"/>
              </w:rPr>
              <w:t>3</w:t>
            </w:r>
            <w:r>
              <w:rPr>
                <w:rFonts w:ascii="Times New Roman" w:hAnsi="Times New Roman" w:cs="Times New Roman" w:hint="eastAsia"/>
                <w:color w:val="000000"/>
                <w:kern w:val="2"/>
                <w:sz w:val="21"/>
                <w:szCs w:val="21"/>
              </w:rPr>
              <w:t>个科目的考试。在连续的</w:t>
            </w:r>
            <w:r>
              <w:rPr>
                <w:rFonts w:ascii="Times New Roman" w:hAnsi="Times New Roman" w:cs="Times New Roman"/>
                <w:color w:val="000000"/>
                <w:kern w:val="2"/>
                <w:sz w:val="21"/>
                <w:szCs w:val="21"/>
              </w:rPr>
              <w:t>3</w:t>
            </w:r>
            <w:r>
              <w:rPr>
                <w:rFonts w:ascii="Times New Roman" w:hAnsi="Times New Roman" w:cs="Times New Roman" w:hint="eastAsia"/>
                <w:color w:val="000000"/>
                <w:kern w:val="2"/>
                <w:sz w:val="21"/>
                <w:szCs w:val="21"/>
              </w:rPr>
              <w:t>个考试年度内参加上述科目考试并合格，可取得注册城乡规划师职业资格证书。</w:t>
            </w:r>
          </w:p>
          <w:p w:rsidR="00CC0FDB" w:rsidRDefault="00CC0FDB" w:rsidP="00CC0FDB">
            <w:pPr>
              <w:pStyle w:val="NormalWeb"/>
              <w:shd w:val="clear" w:color="auto" w:fill="FFFFFF"/>
              <w:spacing w:before="0" w:beforeAutospacing="0" w:after="0" w:afterAutospacing="0" w:line="375" w:lineRule="atLeast"/>
              <w:ind w:firstLineChars="100" w:firstLine="31680"/>
              <w:rPr>
                <w:rFonts w:ascii="Times New Roman" w:hAnsi="Times New Roman" w:cs="Times New Roman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21"/>
                <w:szCs w:val="21"/>
              </w:rPr>
              <w:t>四、在教育部颁布《普通高等学校本科专业目录（</w:t>
            </w:r>
            <w:r>
              <w:rPr>
                <w:rFonts w:ascii="Times New Roman" w:hAnsi="Times New Roman" w:cs="Times New Roman"/>
                <w:color w:val="000000"/>
                <w:kern w:val="2"/>
                <w:sz w:val="21"/>
                <w:szCs w:val="21"/>
              </w:rPr>
              <w:t>2012</w:t>
            </w:r>
            <w:r>
              <w:rPr>
                <w:rFonts w:ascii="Times New Roman" w:hAnsi="Times New Roman" w:cs="Times New Roman" w:hint="eastAsia"/>
                <w:color w:val="000000"/>
                <w:kern w:val="2"/>
                <w:sz w:val="21"/>
                <w:szCs w:val="21"/>
              </w:rPr>
              <w:t>年）》之前，高等学校颁发的</w:t>
            </w:r>
            <w:r>
              <w:rPr>
                <w:rFonts w:ascii="Times New Roman" w:hAnsi="Times New Roman" w:cs="Times New Roman"/>
                <w:color w:val="000000"/>
                <w:kern w:val="2"/>
                <w:sz w:val="21"/>
                <w:szCs w:val="21"/>
              </w:rPr>
              <w:t>“</w:t>
            </w:r>
            <w:r>
              <w:rPr>
                <w:rFonts w:ascii="Times New Roman" w:hAnsi="Times New Roman" w:cs="Times New Roman" w:hint="eastAsia"/>
                <w:color w:val="000000"/>
                <w:kern w:val="2"/>
                <w:sz w:val="21"/>
                <w:szCs w:val="21"/>
              </w:rPr>
              <w:t>城市规划</w:t>
            </w:r>
            <w:r>
              <w:rPr>
                <w:rFonts w:ascii="Times New Roman" w:hAnsi="Times New Roman" w:cs="Times New Roman"/>
                <w:color w:val="000000"/>
                <w:kern w:val="2"/>
                <w:sz w:val="21"/>
                <w:szCs w:val="21"/>
              </w:rPr>
              <w:t>”</w:t>
            </w:r>
            <w:r>
              <w:rPr>
                <w:rFonts w:ascii="Times New Roman" w:hAnsi="Times New Roman" w:cs="Times New Roman" w:hint="eastAsia"/>
                <w:color w:val="000000"/>
                <w:kern w:val="2"/>
                <w:sz w:val="21"/>
                <w:szCs w:val="21"/>
              </w:rPr>
              <w:t>专业大学本科学历或学位，与《规定》第八条的</w:t>
            </w:r>
            <w:r>
              <w:rPr>
                <w:rFonts w:ascii="Times New Roman" w:hAnsi="Times New Roman" w:cs="Times New Roman"/>
                <w:color w:val="000000"/>
                <w:kern w:val="2"/>
                <w:sz w:val="21"/>
                <w:szCs w:val="21"/>
              </w:rPr>
              <w:t>“</w:t>
            </w:r>
            <w:r>
              <w:rPr>
                <w:rFonts w:ascii="Times New Roman" w:hAnsi="Times New Roman" w:cs="Times New Roman" w:hint="eastAsia"/>
                <w:color w:val="000000"/>
                <w:kern w:val="2"/>
                <w:sz w:val="21"/>
                <w:szCs w:val="21"/>
              </w:rPr>
              <w:t>城乡规划</w:t>
            </w:r>
            <w:r>
              <w:rPr>
                <w:rFonts w:ascii="Times New Roman" w:hAnsi="Times New Roman" w:cs="Times New Roman"/>
                <w:color w:val="000000"/>
                <w:kern w:val="2"/>
                <w:sz w:val="21"/>
                <w:szCs w:val="21"/>
              </w:rPr>
              <w:t>”</w:t>
            </w:r>
            <w:r>
              <w:rPr>
                <w:rFonts w:ascii="Times New Roman" w:hAnsi="Times New Roman" w:cs="Times New Roman" w:hint="eastAsia"/>
                <w:color w:val="000000"/>
                <w:kern w:val="2"/>
                <w:sz w:val="21"/>
                <w:szCs w:val="21"/>
              </w:rPr>
              <w:t>专业大学本科学历或学位等同。在国务院学位委员会、教育部颁布《学位授予和人才培养学科目录（</w:t>
            </w:r>
            <w:r>
              <w:rPr>
                <w:rFonts w:ascii="Times New Roman" w:hAnsi="Times New Roman" w:cs="Times New Roman"/>
                <w:color w:val="000000"/>
                <w:kern w:val="2"/>
                <w:sz w:val="21"/>
                <w:szCs w:val="21"/>
              </w:rPr>
              <w:t>2011</w:t>
            </w:r>
            <w:r>
              <w:rPr>
                <w:rFonts w:ascii="Times New Roman" w:hAnsi="Times New Roman" w:cs="Times New Roman" w:hint="eastAsia"/>
                <w:color w:val="000000"/>
                <w:kern w:val="2"/>
                <w:sz w:val="21"/>
                <w:szCs w:val="21"/>
              </w:rPr>
              <w:t>年）》之前，高等学校颁发的</w:t>
            </w:r>
            <w:r>
              <w:rPr>
                <w:rFonts w:ascii="Times New Roman" w:hAnsi="Times New Roman" w:cs="Times New Roman"/>
                <w:color w:val="000000"/>
                <w:kern w:val="2"/>
                <w:sz w:val="21"/>
                <w:szCs w:val="21"/>
              </w:rPr>
              <w:t>“</w:t>
            </w:r>
            <w:r>
              <w:rPr>
                <w:rFonts w:ascii="Times New Roman" w:hAnsi="Times New Roman" w:cs="Times New Roman" w:hint="eastAsia"/>
                <w:color w:val="000000"/>
                <w:kern w:val="2"/>
                <w:sz w:val="21"/>
                <w:szCs w:val="21"/>
              </w:rPr>
              <w:t>城市规划</w:t>
            </w:r>
            <w:r>
              <w:rPr>
                <w:rFonts w:ascii="Times New Roman" w:hAnsi="Times New Roman" w:cs="Times New Roman"/>
                <w:color w:val="000000"/>
                <w:kern w:val="2"/>
                <w:sz w:val="21"/>
                <w:szCs w:val="21"/>
              </w:rPr>
              <w:t>”</w:t>
            </w:r>
            <w:r>
              <w:rPr>
                <w:rFonts w:ascii="Times New Roman" w:hAnsi="Times New Roman" w:cs="Times New Roman" w:hint="eastAsia"/>
                <w:color w:val="000000"/>
                <w:kern w:val="2"/>
                <w:sz w:val="21"/>
                <w:szCs w:val="21"/>
              </w:rPr>
              <w:t>或</w:t>
            </w:r>
            <w:r>
              <w:rPr>
                <w:rFonts w:ascii="Times New Roman" w:hAnsi="Times New Roman" w:cs="Times New Roman"/>
                <w:color w:val="000000"/>
                <w:kern w:val="2"/>
                <w:sz w:val="21"/>
                <w:szCs w:val="21"/>
              </w:rPr>
              <w:t>“</w:t>
            </w:r>
            <w:r>
              <w:rPr>
                <w:rFonts w:ascii="Times New Roman" w:hAnsi="Times New Roman" w:cs="Times New Roman" w:hint="eastAsia"/>
                <w:color w:val="000000"/>
                <w:kern w:val="2"/>
                <w:sz w:val="21"/>
                <w:szCs w:val="21"/>
              </w:rPr>
              <w:t>城市规划与设计</w:t>
            </w:r>
            <w:r>
              <w:rPr>
                <w:rFonts w:ascii="Times New Roman" w:hAnsi="Times New Roman" w:cs="Times New Roman"/>
                <w:color w:val="000000"/>
                <w:kern w:val="2"/>
                <w:sz w:val="21"/>
                <w:szCs w:val="21"/>
              </w:rPr>
              <w:t>”</w:t>
            </w:r>
            <w:r>
              <w:rPr>
                <w:rFonts w:ascii="Times New Roman" w:hAnsi="Times New Roman" w:cs="Times New Roman" w:hint="eastAsia"/>
                <w:color w:val="000000"/>
                <w:kern w:val="2"/>
                <w:sz w:val="21"/>
                <w:szCs w:val="21"/>
              </w:rPr>
              <w:t>专业的硕士、博士层次相应学位，与《规定》第八条的</w:t>
            </w:r>
            <w:r>
              <w:rPr>
                <w:rFonts w:ascii="Times New Roman" w:hAnsi="Times New Roman" w:cs="Times New Roman"/>
                <w:color w:val="000000"/>
                <w:kern w:val="2"/>
                <w:sz w:val="21"/>
                <w:szCs w:val="21"/>
              </w:rPr>
              <w:t>“</w:t>
            </w:r>
            <w:r>
              <w:rPr>
                <w:rFonts w:ascii="Times New Roman" w:hAnsi="Times New Roman" w:cs="Times New Roman" w:hint="eastAsia"/>
                <w:color w:val="000000"/>
                <w:kern w:val="2"/>
                <w:sz w:val="21"/>
                <w:szCs w:val="21"/>
              </w:rPr>
              <w:t>城乡规划</w:t>
            </w:r>
            <w:r>
              <w:rPr>
                <w:rFonts w:ascii="Times New Roman" w:hAnsi="Times New Roman" w:cs="Times New Roman"/>
                <w:color w:val="000000"/>
                <w:kern w:val="2"/>
                <w:sz w:val="21"/>
                <w:szCs w:val="21"/>
              </w:rPr>
              <w:t>”</w:t>
            </w:r>
            <w:r>
              <w:rPr>
                <w:rFonts w:ascii="Times New Roman" w:hAnsi="Times New Roman" w:cs="Times New Roman" w:hint="eastAsia"/>
                <w:color w:val="000000"/>
                <w:kern w:val="2"/>
                <w:sz w:val="21"/>
                <w:szCs w:val="21"/>
              </w:rPr>
              <w:t>专业的硕士、博士层次相应学位等同。</w:t>
            </w:r>
          </w:p>
          <w:p w:rsidR="00CC0FDB" w:rsidRDefault="00CC0FDB" w:rsidP="00CC0FDB">
            <w:pPr>
              <w:ind w:firstLineChars="100" w:firstLine="31680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五、《规定》第八条的</w:t>
            </w:r>
            <w:r>
              <w:rPr>
                <w:color w:val="000000"/>
                <w:szCs w:val="21"/>
              </w:rPr>
              <w:t>“</w:t>
            </w:r>
            <w:r>
              <w:rPr>
                <w:rFonts w:hint="eastAsia"/>
                <w:color w:val="000000"/>
                <w:szCs w:val="21"/>
              </w:rPr>
              <w:t>建筑学学士学位（专业学位）</w:t>
            </w:r>
            <w:r>
              <w:rPr>
                <w:color w:val="000000"/>
                <w:szCs w:val="21"/>
              </w:rPr>
              <w:t>”</w:t>
            </w:r>
            <w:r>
              <w:rPr>
                <w:rFonts w:hint="eastAsia"/>
                <w:color w:val="000000"/>
                <w:szCs w:val="21"/>
              </w:rPr>
              <w:t>和</w:t>
            </w:r>
            <w:r>
              <w:rPr>
                <w:color w:val="000000"/>
                <w:szCs w:val="21"/>
              </w:rPr>
              <w:t>“</w:t>
            </w:r>
            <w:r>
              <w:rPr>
                <w:rFonts w:hint="eastAsia"/>
                <w:color w:val="000000"/>
                <w:szCs w:val="21"/>
              </w:rPr>
              <w:t>建筑学硕士学位（专业学位）</w:t>
            </w:r>
            <w:r>
              <w:rPr>
                <w:color w:val="000000"/>
                <w:szCs w:val="21"/>
              </w:rPr>
              <w:t>”</w:t>
            </w:r>
            <w:r>
              <w:rPr>
                <w:rFonts w:hint="eastAsia"/>
                <w:color w:val="000000"/>
                <w:szCs w:val="21"/>
              </w:rPr>
              <w:t>，是指根据国务院学位委员会颁布的《建筑学专业学位设置方案》，由国务院学位委员会授权的高等学校，在授权期内颁发的建筑学专业相应层次的专业学位，包括</w:t>
            </w:r>
            <w:r>
              <w:rPr>
                <w:color w:val="000000"/>
                <w:szCs w:val="21"/>
              </w:rPr>
              <w:t>“</w:t>
            </w:r>
            <w:r>
              <w:rPr>
                <w:rFonts w:hint="eastAsia"/>
                <w:color w:val="000000"/>
                <w:szCs w:val="21"/>
              </w:rPr>
              <w:t>建筑学学士</w:t>
            </w:r>
            <w:r>
              <w:rPr>
                <w:color w:val="000000"/>
                <w:szCs w:val="21"/>
              </w:rPr>
              <w:t>”</w:t>
            </w:r>
            <w:r>
              <w:rPr>
                <w:rFonts w:hint="eastAsia"/>
                <w:color w:val="000000"/>
                <w:szCs w:val="21"/>
              </w:rPr>
              <w:t>和</w:t>
            </w:r>
            <w:r>
              <w:rPr>
                <w:color w:val="000000"/>
                <w:szCs w:val="21"/>
              </w:rPr>
              <w:t>“</w:t>
            </w:r>
            <w:r>
              <w:rPr>
                <w:rFonts w:hint="eastAsia"/>
                <w:color w:val="000000"/>
                <w:szCs w:val="21"/>
              </w:rPr>
              <w:t>建筑学硕士</w:t>
            </w:r>
            <w:r>
              <w:rPr>
                <w:color w:val="000000"/>
                <w:szCs w:val="21"/>
              </w:rPr>
              <w:t>”</w:t>
            </w:r>
            <w:r>
              <w:rPr>
                <w:rFonts w:hint="eastAsia"/>
                <w:color w:val="000000"/>
                <w:szCs w:val="21"/>
              </w:rPr>
              <w:t>两个层次，不包括建筑学专业的工学学士学位、工学硕士学位以及</w:t>
            </w:r>
            <w:r>
              <w:rPr>
                <w:color w:val="000000"/>
                <w:szCs w:val="21"/>
              </w:rPr>
              <w:t>“</w:t>
            </w:r>
            <w:r>
              <w:rPr>
                <w:rFonts w:hint="eastAsia"/>
                <w:color w:val="000000"/>
                <w:szCs w:val="21"/>
              </w:rPr>
              <w:t>建筑与土木工程领域</w:t>
            </w:r>
            <w:r>
              <w:rPr>
                <w:color w:val="000000"/>
                <w:szCs w:val="21"/>
              </w:rPr>
              <w:t>”</w:t>
            </w:r>
            <w:r>
              <w:rPr>
                <w:rFonts w:hint="eastAsia"/>
                <w:color w:val="000000"/>
                <w:szCs w:val="21"/>
              </w:rPr>
              <w:t>的工程硕士学位。</w:t>
            </w:r>
            <w:r>
              <w:rPr>
                <w:color w:val="000000"/>
                <w:szCs w:val="21"/>
              </w:rPr>
              <w:t>“</w:t>
            </w:r>
            <w:r>
              <w:rPr>
                <w:rFonts w:hint="eastAsia"/>
                <w:color w:val="000000"/>
                <w:szCs w:val="21"/>
              </w:rPr>
              <w:t>城市规划硕士学位（专业学位）</w:t>
            </w:r>
            <w:r>
              <w:rPr>
                <w:color w:val="000000"/>
                <w:szCs w:val="21"/>
              </w:rPr>
              <w:t>”</w:t>
            </w:r>
            <w:r>
              <w:rPr>
                <w:rFonts w:hint="eastAsia"/>
                <w:color w:val="000000"/>
                <w:szCs w:val="21"/>
              </w:rPr>
              <w:t>是指由国务院学位委员会授权的高等学校，在授权期内颁发的</w:t>
            </w:r>
            <w:r>
              <w:rPr>
                <w:color w:val="000000"/>
                <w:szCs w:val="21"/>
              </w:rPr>
              <w:t>“</w:t>
            </w:r>
            <w:r>
              <w:rPr>
                <w:rFonts w:hint="eastAsia"/>
                <w:color w:val="000000"/>
                <w:szCs w:val="21"/>
              </w:rPr>
              <w:t>城市规划硕士</w:t>
            </w:r>
            <w:r>
              <w:rPr>
                <w:color w:val="000000"/>
                <w:szCs w:val="21"/>
              </w:rPr>
              <w:t>”</w:t>
            </w:r>
            <w:r>
              <w:rPr>
                <w:rFonts w:hint="eastAsia"/>
                <w:color w:val="000000"/>
                <w:szCs w:val="21"/>
              </w:rPr>
              <w:t>专业学位。</w:t>
            </w:r>
          </w:p>
          <w:p w:rsidR="00CC0FDB" w:rsidRDefault="00CC0FDB" w:rsidP="00CC0FDB">
            <w:pPr>
              <w:ind w:firstLineChars="100" w:firstLine="31680"/>
              <w:rPr>
                <w:color w:val="000000"/>
                <w:szCs w:val="21"/>
              </w:rPr>
            </w:pPr>
          </w:p>
          <w:p w:rsidR="00CC0FDB" w:rsidRDefault="00CC0FDB" w:rsidP="00CC0FDB">
            <w:pPr>
              <w:ind w:firstLineChars="100" w:firstLine="31680"/>
              <w:rPr>
                <w:szCs w:val="21"/>
              </w:rPr>
            </w:pPr>
          </w:p>
          <w:p w:rsidR="00CC0FDB" w:rsidRDefault="00CC0FDB" w:rsidP="00CC0FDB">
            <w:pPr>
              <w:ind w:firstLineChars="100" w:firstLine="31680"/>
              <w:rPr>
                <w:szCs w:val="21"/>
              </w:rPr>
            </w:pPr>
          </w:p>
        </w:tc>
      </w:tr>
      <w:tr w:rsidR="00CC0FDB">
        <w:trPr>
          <w:gridAfter w:val="1"/>
          <w:wAfter w:w="17" w:type="dxa"/>
          <w:trHeight w:hRule="exact" w:val="573"/>
          <w:jc w:val="center"/>
        </w:trPr>
        <w:tc>
          <w:tcPr>
            <w:tcW w:w="841" w:type="dxa"/>
            <w:vMerge w:val="restart"/>
          </w:tcPr>
          <w:p w:rsidR="00CC0FDB" w:rsidRDefault="00CC0FDB">
            <w:pPr>
              <w:widowControl/>
              <w:jc w:val="center"/>
              <w:rPr>
                <w:rFonts w:eastAsia="黑体"/>
                <w:b/>
                <w:color w:val="000000"/>
                <w:szCs w:val="21"/>
              </w:rPr>
            </w:pPr>
          </w:p>
          <w:p w:rsidR="00CC0FDB" w:rsidRDefault="00CC0FDB">
            <w:pPr>
              <w:widowControl/>
              <w:jc w:val="center"/>
              <w:rPr>
                <w:rFonts w:eastAsia="黑体"/>
                <w:b/>
                <w:color w:val="000000"/>
                <w:szCs w:val="21"/>
              </w:rPr>
            </w:pPr>
          </w:p>
          <w:p w:rsidR="00CC0FDB" w:rsidRDefault="00CC0FDB">
            <w:pPr>
              <w:widowControl/>
              <w:jc w:val="center"/>
              <w:rPr>
                <w:rFonts w:eastAsia="黑体"/>
                <w:b/>
                <w:color w:val="000000"/>
                <w:szCs w:val="21"/>
              </w:rPr>
            </w:pPr>
          </w:p>
          <w:p w:rsidR="00CC0FDB" w:rsidRDefault="00CC0FDB">
            <w:pPr>
              <w:widowControl/>
              <w:jc w:val="center"/>
              <w:rPr>
                <w:rFonts w:eastAsia="黑体"/>
                <w:b/>
                <w:color w:val="000000"/>
                <w:szCs w:val="21"/>
              </w:rPr>
            </w:pPr>
          </w:p>
          <w:p w:rsidR="00CC0FDB" w:rsidRDefault="00CC0FDB">
            <w:pPr>
              <w:widowControl/>
              <w:jc w:val="center"/>
              <w:rPr>
                <w:rFonts w:eastAsia="黑体"/>
                <w:b/>
                <w:color w:val="000000"/>
                <w:szCs w:val="21"/>
              </w:rPr>
            </w:pPr>
          </w:p>
          <w:p w:rsidR="00CC0FDB" w:rsidRDefault="00CC0FDB">
            <w:pPr>
              <w:widowControl/>
              <w:rPr>
                <w:rFonts w:eastAsia="黑体"/>
                <w:b/>
                <w:color w:val="000000"/>
                <w:szCs w:val="21"/>
              </w:rPr>
            </w:pPr>
          </w:p>
          <w:p w:rsidR="00CC0FDB" w:rsidRDefault="00CC0FDB">
            <w:pPr>
              <w:widowControl/>
              <w:jc w:val="center"/>
              <w:rPr>
                <w:rFonts w:eastAsia="黑体"/>
                <w:b/>
                <w:color w:val="000000"/>
                <w:szCs w:val="21"/>
              </w:rPr>
            </w:pPr>
            <w:r>
              <w:rPr>
                <w:rFonts w:eastAsia="黑体" w:hint="eastAsia"/>
                <w:b/>
                <w:color w:val="000000"/>
                <w:szCs w:val="21"/>
              </w:rPr>
              <w:t>房</w:t>
            </w:r>
          </w:p>
          <w:p w:rsidR="00CC0FDB" w:rsidRDefault="00CC0FDB">
            <w:pPr>
              <w:widowControl/>
              <w:jc w:val="center"/>
              <w:rPr>
                <w:rFonts w:eastAsia="黑体"/>
                <w:b/>
                <w:color w:val="000000"/>
                <w:szCs w:val="21"/>
              </w:rPr>
            </w:pPr>
            <w:r>
              <w:rPr>
                <w:rFonts w:eastAsia="黑体" w:hint="eastAsia"/>
                <w:b/>
                <w:color w:val="000000"/>
                <w:szCs w:val="21"/>
              </w:rPr>
              <w:t>地</w:t>
            </w:r>
          </w:p>
          <w:p w:rsidR="00CC0FDB" w:rsidRDefault="00CC0FDB">
            <w:pPr>
              <w:widowControl/>
              <w:jc w:val="center"/>
              <w:rPr>
                <w:rFonts w:eastAsia="黑体"/>
                <w:b/>
                <w:color w:val="000000"/>
                <w:szCs w:val="21"/>
              </w:rPr>
            </w:pPr>
            <w:r>
              <w:rPr>
                <w:rFonts w:eastAsia="黑体" w:hint="eastAsia"/>
                <w:b/>
                <w:color w:val="000000"/>
                <w:szCs w:val="21"/>
              </w:rPr>
              <w:t>产</w:t>
            </w:r>
          </w:p>
          <w:p w:rsidR="00CC0FDB" w:rsidRDefault="00CC0FDB">
            <w:pPr>
              <w:widowControl/>
              <w:jc w:val="center"/>
              <w:rPr>
                <w:rFonts w:eastAsia="黑体"/>
                <w:b/>
                <w:color w:val="000000"/>
                <w:szCs w:val="21"/>
              </w:rPr>
            </w:pPr>
            <w:r>
              <w:rPr>
                <w:rFonts w:eastAsia="黑体" w:hint="eastAsia"/>
                <w:b/>
                <w:color w:val="000000"/>
                <w:szCs w:val="21"/>
              </w:rPr>
              <w:t>估</w:t>
            </w:r>
          </w:p>
          <w:p w:rsidR="00CC0FDB" w:rsidRDefault="00CC0FDB">
            <w:pPr>
              <w:widowControl/>
              <w:jc w:val="center"/>
              <w:rPr>
                <w:rFonts w:eastAsia="黑体"/>
                <w:b/>
                <w:color w:val="000000"/>
                <w:szCs w:val="21"/>
              </w:rPr>
            </w:pPr>
            <w:r>
              <w:rPr>
                <w:rFonts w:eastAsia="黑体" w:hint="eastAsia"/>
                <w:b/>
                <w:color w:val="000000"/>
                <w:szCs w:val="21"/>
              </w:rPr>
              <w:t>价</w:t>
            </w:r>
          </w:p>
          <w:p w:rsidR="00CC0FDB" w:rsidRDefault="00CC0FDB" w:rsidP="00CC0FDB">
            <w:pPr>
              <w:ind w:firstLineChars="100" w:firstLine="31680"/>
              <w:rPr>
                <w:b/>
                <w:bCs/>
                <w:color w:val="000000"/>
                <w:sz w:val="44"/>
                <w:szCs w:val="44"/>
              </w:rPr>
            </w:pPr>
            <w:r>
              <w:rPr>
                <w:rFonts w:eastAsia="黑体" w:hint="eastAsia"/>
                <w:b/>
                <w:color w:val="000000"/>
                <w:szCs w:val="21"/>
              </w:rPr>
              <w:t>师</w:t>
            </w:r>
          </w:p>
        </w:tc>
        <w:tc>
          <w:tcPr>
            <w:tcW w:w="1897" w:type="dxa"/>
            <w:gridSpan w:val="3"/>
            <w:vMerge w:val="restart"/>
          </w:tcPr>
          <w:p w:rsidR="00CC0FDB" w:rsidRDefault="00CC0FDB" w:rsidP="00CC0FDB">
            <w:pPr>
              <w:widowControl/>
              <w:ind w:firstLineChars="150" w:firstLine="31680"/>
              <w:jc w:val="left"/>
              <w:rPr>
                <w:color w:val="000000"/>
                <w:kern w:val="0"/>
                <w:szCs w:val="21"/>
              </w:rPr>
            </w:pPr>
          </w:p>
          <w:p w:rsidR="00CC0FDB" w:rsidRDefault="00CC0FDB" w:rsidP="00CC0FDB">
            <w:pPr>
              <w:widowControl/>
              <w:ind w:firstLineChars="150" w:firstLine="31680"/>
              <w:jc w:val="left"/>
              <w:rPr>
                <w:color w:val="000000"/>
                <w:kern w:val="0"/>
                <w:szCs w:val="21"/>
              </w:rPr>
            </w:pPr>
          </w:p>
          <w:p w:rsidR="00CC0FDB" w:rsidRDefault="00CC0FDB" w:rsidP="00CC0FDB">
            <w:pPr>
              <w:widowControl/>
              <w:ind w:firstLineChars="150" w:firstLine="31680"/>
              <w:jc w:val="left"/>
              <w:rPr>
                <w:color w:val="000000"/>
                <w:kern w:val="0"/>
                <w:szCs w:val="21"/>
              </w:rPr>
            </w:pPr>
          </w:p>
          <w:p w:rsidR="00CC0FDB" w:rsidRDefault="00CC0FD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房地产估价</w:t>
            </w:r>
          </w:p>
          <w:p w:rsidR="00CC0FDB" w:rsidRDefault="00CC0FD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相关学科</w:t>
            </w:r>
          </w:p>
          <w:p w:rsidR="00CC0FDB" w:rsidRDefault="00CC0FDB">
            <w:pPr>
              <w:widowControl/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(</w:t>
            </w:r>
            <w:r>
              <w:rPr>
                <w:rFonts w:hint="eastAsia"/>
                <w:color w:val="000000"/>
                <w:kern w:val="0"/>
                <w:szCs w:val="21"/>
              </w:rPr>
              <w:t>包括经济、建筑、规划和管理等与估价相关的学科和专业</w:t>
            </w:r>
            <w:r>
              <w:rPr>
                <w:color w:val="000000"/>
                <w:kern w:val="0"/>
                <w:szCs w:val="21"/>
              </w:rPr>
              <w:t>)</w:t>
            </w:r>
          </w:p>
        </w:tc>
        <w:tc>
          <w:tcPr>
            <w:tcW w:w="1652" w:type="dxa"/>
            <w:gridSpan w:val="2"/>
            <w:vAlign w:val="center"/>
          </w:tcPr>
          <w:p w:rsidR="00CC0FDB" w:rsidRDefault="00CC0FDB">
            <w:pPr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博士学位</w:t>
            </w:r>
          </w:p>
        </w:tc>
        <w:tc>
          <w:tcPr>
            <w:tcW w:w="5581" w:type="dxa"/>
            <w:gridSpan w:val="5"/>
            <w:vAlign w:val="center"/>
          </w:tcPr>
          <w:p w:rsidR="00CC0FDB" w:rsidRDefault="00CC0FDB">
            <w:pPr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不限</w:t>
            </w:r>
          </w:p>
        </w:tc>
      </w:tr>
      <w:tr w:rsidR="00CC0FDB">
        <w:trPr>
          <w:gridAfter w:val="1"/>
          <w:wAfter w:w="17" w:type="dxa"/>
          <w:trHeight w:hRule="exact" w:val="934"/>
          <w:jc w:val="center"/>
        </w:trPr>
        <w:tc>
          <w:tcPr>
            <w:tcW w:w="841" w:type="dxa"/>
            <w:vMerge/>
          </w:tcPr>
          <w:p w:rsidR="00CC0FDB" w:rsidRDefault="00CC0FDB">
            <w:pPr>
              <w:rPr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897" w:type="dxa"/>
            <w:gridSpan w:val="3"/>
            <w:vMerge/>
          </w:tcPr>
          <w:p w:rsidR="00CC0FDB" w:rsidRDefault="00CC0FDB" w:rsidP="00CC0FDB">
            <w:pPr>
              <w:widowControl/>
              <w:ind w:firstLineChars="150" w:firstLine="31680"/>
              <w:jc w:val="left"/>
              <w:rPr>
                <w:color w:val="000000"/>
                <w:szCs w:val="21"/>
              </w:rPr>
            </w:pPr>
          </w:p>
        </w:tc>
        <w:tc>
          <w:tcPr>
            <w:tcW w:w="1652" w:type="dxa"/>
            <w:gridSpan w:val="2"/>
            <w:vAlign w:val="center"/>
          </w:tcPr>
          <w:p w:rsidR="00CC0FDB" w:rsidRDefault="00CC0FDB">
            <w:pPr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硕士学位或双学士、研究生班</w:t>
            </w:r>
          </w:p>
        </w:tc>
        <w:tc>
          <w:tcPr>
            <w:tcW w:w="5581" w:type="dxa"/>
            <w:gridSpan w:val="5"/>
            <w:vAlign w:val="center"/>
          </w:tcPr>
          <w:p w:rsidR="00CC0FDB" w:rsidRDefault="00CC0FDB">
            <w:pPr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从事房地产估价实务满</w:t>
            </w:r>
            <w:r>
              <w:rPr>
                <w:color w:val="000000"/>
                <w:szCs w:val="21"/>
              </w:rPr>
              <w:t>2</w:t>
            </w:r>
            <w:r>
              <w:rPr>
                <w:rFonts w:hint="eastAsia"/>
                <w:color w:val="000000"/>
                <w:szCs w:val="21"/>
              </w:rPr>
              <w:t>年</w:t>
            </w:r>
          </w:p>
        </w:tc>
      </w:tr>
      <w:tr w:rsidR="00CC0FDB">
        <w:trPr>
          <w:gridAfter w:val="1"/>
          <w:wAfter w:w="17" w:type="dxa"/>
          <w:trHeight w:hRule="exact" w:val="573"/>
          <w:jc w:val="center"/>
        </w:trPr>
        <w:tc>
          <w:tcPr>
            <w:tcW w:w="841" w:type="dxa"/>
            <w:vMerge/>
          </w:tcPr>
          <w:p w:rsidR="00CC0FDB" w:rsidRDefault="00CC0FDB">
            <w:pPr>
              <w:rPr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897" w:type="dxa"/>
            <w:gridSpan w:val="3"/>
            <w:vMerge/>
          </w:tcPr>
          <w:p w:rsidR="00CC0FDB" w:rsidRDefault="00CC0FDB" w:rsidP="00CC0FDB">
            <w:pPr>
              <w:widowControl/>
              <w:ind w:firstLineChars="150" w:firstLine="31680"/>
              <w:jc w:val="left"/>
              <w:rPr>
                <w:color w:val="000000"/>
                <w:szCs w:val="21"/>
              </w:rPr>
            </w:pPr>
          </w:p>
        </w:tc>
        <w:tc>
          <w:tcPr>
            <w:tcW w:w="1652" w:type="dxa"/>
            <w:gridSpan w:val="2"/>
            <w:vAlign w:val="center"/>
          </w:tcPr>
          <w:p w:rsidR="00CC0FDB" w:rsidRDefault="00CC0FDB">
            <w:pPr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学士学位</w:t>
            </w:r>
          </w:p>
        </w:tc>
        <w:tc>
          <w:tcPr>
            <w:tcW w:w="5581" w:type="dxa"/>
            <w:gridSpan w:val="5"/>
            <w:vAlign w:val="center"/>
          </w:tcPr>
          <w:p w:rsidR="00CC0FDB" w:rsidRDefault="00CC0FDB">
            <w:pPr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4</w:t>
            </w:r>
            <w:r>
              <w:rPr>
                <w:rFonts w:hint="eastAsia"/>
                <w:color w:val="000000"/>
                <w:szCs w:val="21"/>
              </w:rPr>
              <w:t>年以上相关专业工作经历，其中从事房地产估价实务满</w:t>
            </w:r>
            <w:r>
              <w:rPr>
                <w:color w:val="000000"/>
                <w:szCs w:val="21"/>
              </w:rPr>
              <w:t>3</w:t>
            </w:r>
            <w:r>
              <w:rPr>
                <w:rFonts w:hint="eastAsia"/>
                <w:color w:val="000000"/>
                <w:szCs w:val="21"/>
              </w:rPr>
              <w:t>年</w:t>
            </w:r>
          </w:p>
        </w:tc>
      </w:tr>
      <w:tr w:rsidR="00CC0FDB">
        <w:trPr>
          <w:gridAfter w:val="1"/>
          <w:wAfter w:w="17" w:type="dxa"/>
          <w:trHeight w:hRule="exact" w:val="573"/>
          <w:jc w:val="center"/>
        </w:trPr>
        <w:tc>
          <w:tcPr>
            <w:tcW w:w="841" w:type="dxa"/>
            <w:vMerge/>
          </w:tcPr>
          <w:p w:rsidR="00CC0FDB" w:rsidRDefault="00CC0FDB">
            <w:pPr>
              <w:rPr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897" w:type="dxa"/>
            <w:gridSpan w:val="3"/>
            <w:vMerge/>
          </w:tcPr>
          <w:p w:rsidR="00CC0FDB" w:rsidRDefault="00CC0FDB" w:rsidP="00CC0FDB">
            <w:pPr>
              <w:widowControl/>
              <w:ind w:firstLineChars="150" w:firstLine="31680"/>
              <w:jc w:val="left"/>
              <w:rPr>
                <w:color w:val="000000"/>
                <w:szCs w:val="21"/>
              </w:rPr>
            </w:pPr>
          </w:p>
        </w:tc>
        <w:tc>
          <w:tcPr>
            <w:tcW w:w="1652" w:type="dxa"/>
            <w:gridSpan w:val="2"/>
            <w:vAlign w:val="center"/>
          </w:tcPr>
          <w:p w:rsidR="00CC0FDB" w:rsidRDefault="00CC0FDB">
            <w:pPr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大学专科</w:t>
            </w:r>
          </w:p>
        </w:tc>
        <w:tc>
          <w:tcPr>
            <w:tcW w:w="5581" w:type="dxa"/>
            <w:gridSpan w:val="5"/>
            <w:vAlign w:val="center"/>
          </w:tcPr>
          <w:p w:rsidR="00CC0FDB" w:rsidRDefault="00CC0FDB">
            <w:pPr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6</w:t>
            </w:r>
            <w:r>
              <w:rPr>
                <w:rFonts w:hint="eastAsia"/>
                <w:color w:val="000000"/>
                <w:szCs w:val="21"/>
              </w:rPr>
              <w:t>年以上相关专业工作经历，其中从事房地产估价实务满</w:t>
            </w:r>
            <w:r>
              <w:rPr>
                <w:color w:val="000000"/>
                <w:szCs w:val="21"/>
              </w:rPr>
              <w:t>4</w:t>
            </w:r>
            <w:r>
              <w:rPr>
                <w:rFonts w:hint="eastAsia"/>
                <w:color w:val="000000"/>
                <w:szCs w:val="21"/>
              </w:rPr>
              <w:t>年</w:t>
            </w:r>
          </w:p>
        </w:tc>
      </w:tr>
      <w:tr w:rsidR="00CC0FDB">
        <w:trPr>
          <w:gridAfter w:val="1"/>
          <w:wAfter w:w="17" w:type="dxa"/>
          <w:trHeight w:hRule="exact" w:val="573"/>
          <w:jc w:val="center"/>
        </w:trPr>
        <w:tc>
          <w:tcPr>
            <w:tcW w:w="841" w:type="dxa"/>
            <w:vMerge/>
          </w:tcPr>
          <w:p w:rsidR="00CC0FDB" w:rsidRDefault="00CC0FDB">
            <w:pPr>
              <w:rPr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897" w:type="dxa"/>
            <w:gridSpan w:val="3"/>
            <w:vMerge/>
          </w:tcPr>
          <w:p w:rsidR="00CC0FDB" w:rsidRDefault="00CC0FDB" w:rsidP="00CC0FDB">
            <w:pPr>
              <w:widowControl/>
              <w:ind w:firstLineChars="150" w:firstLine="31680"/>
              <w:jc w:val="left"/>
              <w:rPr>
                <w:color w:val="000000"/>
                <w:szCs w:val="21"/>
              </w:rPr>
            </w:pPr>
          </w:p>
        </w:tc>
        <w:tc>
          <w:tcPr>
            <w:tcW w:w="1652" w:type="dxa"/>
            <w:gridSpan w:val="2"/>
            <w:vAlign w:val="center"/>
          </w:tcPr>
          <w:p w:rsidR="00CC0FDB" w:rsidRDefault="00CC0FDB">
            <w:pPr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中专</w:t>
            </w:r>
          </w:p>
        </w:tc>
        <w:tc>
          <w:tcPr>
            <w:tcW w:w="5581" w:type="dxa"/>
            <w:gridSpan w:val="5"/>
            <w:vAlign w:val="center"/>
          </w:tcPr>
          <w:p w:rsidR="00CC0FDB" w:rsidRDefault="00CC0FDB">
            <w:pPr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8</w:t>
            </w:r>
            <w:r>
              <w:rPr>
                <w:rFonts w:hint="eastAsia"/>
                <w:color w:val="000000"/>
                <w:szCs w:val="21"/>
              </w:rPr>
              <w:t>年以上相关专业工作经历，其中从事房地产估价实务满</w:t>
            </w:r>
            <w:r>
              <w:rPr>
                <w:color w:val="000000"/>
                <w:szCs w:val="21"/>
              </w:rPr>
              <w:t>5</w:t>
            </w:r>
            <w:r>
              <w:rPr>
                <w:rFonts w:hint="eastAsia"/>
                <w:color w:val="000000"/>
                <w:szCs w:val="21"/>
              </w:rPr>
              <w:t>年</w:t>
            </w:r>
          </w:p>
        </w:tc>
      </w:tr>
      <w:tr w:rsidR="00CC0FDB">
        <w:trPr>
          <w:gridAfter w:val="1"/>
          <w:wAfter w:w="17" w:type="dxa"/>
          <w:trHeight w:hRule="exact" w:val="1130"/>
          <w:jc w:val="center"/>
        </w:trPr>
        <w:tc>
          <w:tcPr>
            <w:tcW w:w="841" w:type="dxa"/>
            <w:vMerge/>
          </w:tcPr>
          <w:p w:rsidR="00CC0FDB" w:rsidRDefault="00CC0FDB">
            <w:pPr>
              <w:rPr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9130" w:type="dxa"/>
            <w:gridSpan w:val="10"/>
          </w:tcPr>
          <w:p w:rsidR="00CC0FDB" w:rsidRDefault="00CC0FDB" w:rsidP="00CC0FDB">
            <w:pPr>
              <w:tabs>
                <w:tab w:val="left" w:pos="6072"/>
              </w:tabs>
              <w:ind w:firstLineChars="200" w:firstLine="31680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不具备上述规定学历，通过国家统一组织的经济专业初级资格或审计、会计、统计专业助理级资格考试并取得相应资格，具有</w:t>
            </w:r>
            <w:r>
              <w:rPr>
                <w:color w:val="000000"/>
                <w:szCs w:val="21"/>
              </w:rPr>
              <w:t>10</w:t>
            </w:r>
            <w:r>
              <w:rPr>
                <w:rFonts w:hint="eastAsia"/>
                <w:color w:val="000000"/>
                <w:szCs w:val="21"/>
              </w:rPr>
              <w:t>年以上相关专业工作经历，其中从事房地产估价实务满</w:t>
            </w:r>
            <w:r>
              <w:rPr>
                <w:color w:val="000000"/>
                <w:szCs w:val="21"/>
              </w:rPr>
              <w:t>6</w:t>
            </w:r>
            <w:r>
              <w:rPr>
                <w:rFonts w:hint="eastAsia"/>
                <w:color w:val="000000"/>
                <w:szCs w:val="21"/>
              </w:rPr>
              <w:t>年，成绩特别突出者。</w:t>
            </w:r>
          </w:p>
        </w:tc>
      </w:tr>
      <w:tr w:rsidR="00CC0FDB">
        <w:trPr>
          <w:gridAfter w:val="1"/>
          <w:wAfter w:w="17" w:type="dxa"/>
          <w:trHeight w:hRule="exact" w:val="1133"/>
          <w:jc w:val="center"/>
        </w:trPr>
        <w:tc>
          <w:tcPr>
            <w:tcW w:w="841" w:type="dxa"/>
            <w:vMerge/>
          </w:tcPr>
          <w:p w:rsidR="00CC0FDB" w:rsidRDefault="00CC0FDB">
            <w:pPr>
              <w:rPr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9130" w:type="dxa"/>
            <w:gridSpan w:val="10"/>
          </w:tcPr>
          <w:p w:rsidR="00CC0FDB" w:rsidRDefault="00CC0FDB" w:rsidP="00CC0FDB">
            <w:pPr>
              <w:tabs>
                <w:tab w:val="left" w:pos="6072"/>
              </w:tabs>
              <w:ind w:firstLineChars="200" w:firstLine="31680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考试成绩实行</w:t>
            </w:r>
            <w:r>
              <w:rPr>
                <w:color w:val="000000"/>
                <w:szCs w:val="21"/>
              </w:rPr>
              <w:t>2</w:t>
            </w:r>
            <w:r>
              <w:rPr>
                <w:rFonts w:hint="eastAsia"/>
                <w:color w:val="000000"/>
                <w:szCs w:val="21"/>
              </w:rPr>
              <w:t>年为一个周期的滚动管理办法。须在连续</w:t>
            </w:r>
            <w:r>
              <w:rPr>
                <w:color w:val="000000"/>
                <w:szCs w:val="21"/>
              </w:rPr>
              <w:t>2</w:t>
            </w:r>
            <w:r>
              <w:rPr>
                <w:rFonts w:hint="eastAsia"/>
                <w:color w:val="000000"/>
                <w:szCs w:val="21"/>
              </w:rPr>
              <w:t>个考试年度内通过应试科目，方可取得资格证书。</w:t>
            </w:r>
          </w:p>
        </w:tc>
      </w:tr>
      <w:tr w:rsidR="00CC0FDB">
        <w:trPr>
          <w:trHeight w:hRule="exact" w:val="567"/>
          <w:jc w:val="center"/>
        </w:trPr>
        <w:tc>
          <w:tcPr>
            <w:tcW w:w="841" w:type="dxa"/>
            <w:vMerge w:val="restart"/>
            <w:vAlign w:val="center"/>
          </w:tcPr>
          <w:p w:rsidR="00CC0FDB" w:rsidRDefault="00CC0FDB">
            <w:pPr>
              <w:rPr>
                <w:b/>
                <w:szCs w:val="21"/>
              </w:rPr>
            </w:pPr>
          </w:p>
          <w:p w:rsidR="00CC0FDB" w:rsidRDefault="00CC0FDB">
            <w:pPr>
              <w:jc w:val="center"/>
              <w:rPr>
                <w:rFonts w:ascii="黑体" w:eastAsia="黑体" w:hAnsi="黑体" w:cs="黑体"/>
                <w:b/>
                <w:szCs w:val="21"/>
              </w:rPr>
            </w:pPr>
            <w:r>
              <w:rPr>
                <w:rFonts w:ascii="黑体" w:eastAsia="黑体" w:hAnsi="黑体" w:cs="黑体" w:hint="eastAsia"/>
                <w:b/>
                <w:szCs w:val="21"/>
              </w:rPr>
              <w:t>经</w:t>
            </w:r>
          </w:p>
          <w:p w:rsidR="00CC0FDB" w:rsidRDefault="00CC0FDB">
            <w:pPr>
              <w:jc w:val="center"/>
              <w:rPr>
                <w:rFonts w:ascii="黑体" w:eastAsia="黑体" w:hAnsi="黑体" w:cs="黑体"/>
                <w:b/>
                <w:szCs w:val="21"/>
              </w:rPr>
            </w:pPr>
          </w:p>
          <w:p w:rsidR="00CC0FDB" w:rsidRDefault="00CC0FDB">
            <w:pPr>
              <w:jc w:val="center"/>
              <w:rPr>
                <w:b/>
                <w:szCs w:val="21"/>
              </w:rPr>
            </w:pPr>
            <w:r>
              <w:rPr>
                <w:rFonts w:ascii="黑体" w:eastAsia="黑体" w:hAnsi="黑体" w:cs="黑体" w:hint="eastAsia"/>
                <w:b/>
                <w:szCs w:val="21"/>
              </w:rPr>
              <w:t>济</w:t>
            </w:r>
          </w:p>
        </w:tc>
        <w:tc>
          <w:tcPr>
            <w:tcW w:w="957" w:type="dxa"/>
            <w:gridSpan w:val="2"/>
            <w:vMerge w:val="restart"/>
            <w:vAlign w:val="center"/>
          </w:tcPr>
          <w:p w:rsidR="00CC0FDB" w:rsidRDefault="00CC0FDB" w:rsidP="00CC0FDB">
            <w:pPr>
              <w:pStyle w:val="BodyText"/>
              <w:spacing w:line="240" w:lineRule="exact"/>
              <w:ind w:firstLineChars="50" w:firstLine="31680"/>
              <w:rPr>
                <w:bCs/>
                <w:sz w:val="21"/>
              </w:rPr>
            </w:pPr>
            <w:r>
              <w:rPr>
                <w:rFonts w:hint="eastAsia"/>
                <w:bCs/>
                <w:sz w:val="21"/>
              </w:rPr>
              <w:t>中级</w:t>
            </w:r>
          </w:p>
        </w:tc>
        <w:tc>
          <w:tcPr>
            <w:tcW w:w="2700" w:type="dxa"/>
            <w:gridSpan w:val="4"/>
            <w:vAlign w:val="center"/>
          </w:tcPr>
          <w:p w:rsidR="00CC0FDB" w:rsidRDefault="00CC0FDB">
            <w:pPr>
              <w:pStyle w:val="BodyText"/>
              <w:spacing w:line="240" w:lineRule="exact"/>
              <w:rPr>
                <w:bCs/>
                <w:sz w:val="21"/>
              </w:rPr>
            </w:pPr>
            <w:r>
              <w:rPr>
                <w:rFonts w:hint="eastAsia"/>
                <w:bCs/>
                <w:sz w:val="21"/>
              </w:rPr>
              <w:t>取得经济专业初级资格</w:t>
            </w:r>
          </w:p>
        </w:tc>
        <w:tc>
          <w:tcPr>
            <w:tcW w:w="2635" w:type="dxa"/>
            <w:gridSpan w:val="3"/>
            <w:vAlign w:val="center"/>
          </w:tcPr>
          <w:p w:rsidR="00CC0FDB" w:rsidRDefault="00CC0FDB">
            <w:pPr>
              <w:pStyle w:val="BodyText"/>
              <w:spacing w:line="240" w:lineRule="exact"/>
              <w:rPr>
                <w:bCs/>
                <w:sz w:val="21"/>
              </w:rPr>
            </w:pPr>
            <w:r>
              <w:rPr>
                <w:rFonts w:hint="eastAsia"/>
                <w:bCs/>
                <w:sz w:val="21"/>
              </w:rPr>
              <w:t>中专</w:t>
            </w:r>
          </w:p>
        </w:tc>
        <w:tc>
          <w:tcPr>
            <w:tcW w:w="2855" w:type="dxa"/>
            <w:gridSpan w:val="2"/>
            <w:vAlign w:val="center"/>
          </w:tcPr>
          <w:p w:rsidR="00CC0FDB" w:rsidRDefault="00CC0FDB">
            <w:pPr>
              <w:pStyle w:val="BodyText"/>
              <w:spacing w:line="240" w:lineRule="exact"/>
              <w:rPr>
                <w:bCs/>
                <w:sz w:val="21"/>
              </w:rPr>
            </w:pPr>
            <w:r>
              <w:rPr>
                <w:rFonts w:hint="eastAsia"/>
                <w:bCs/>
                <w:sz w:val="21"/>
              </w:rPr>
              <w:t>从事经济工作满</w:t>
            </w:r>
            <w:r>
              <w:rPr>
                <w:bCs/>
                <w:sz w:val="21"/>
              </w:rPr>
              <w:t>10</w:t>
            </w:r>
            <w:r>
              <w:rPr>
                <w:rFonts w:hint="eastAsia"/>
                <w:bCs/>
                <w:sz w:val="21"/>
              </w:rPr>
              <w:t>年</w:t>
            </w:r>
          </w:p>
        </w:tc>
      </w:tr>
      <w:tr w:rsidR="00CC0FDB">
        <w:trPr>
          <w:trHeight w:hRule="exact" w:val="567"/>
          <w:jc w:val="center"/>
        </w:trPr>
        <w:tc>
          <w:tcPr>
            <w:tcW w:w="841" w:type="dxa"/>
            <w:vMerge/>
          </w:tcPr>
          <w:p w:rsidR="00CC0FDB" w:rsidRDefault="00CC0FDB">
            <w:pPr>
              <w:rPr>
                <w:b/>
                <w:szCs w:val="21"/>
              </w:rPr>
            </w:pPr>
          </w:p>
        </w:tc>
        <w:tc>
          <w:tcPr>
            <w:tcW w:w="957" w:type="dxa"/>
            <w:gridSpan w:val="2"/>
            <w:vMerge/>
            <w:vAlign w:val="center"/>
          </w:tcPr>
          <w:p w:rsidR="00CC0FDB" w:rsidRDefault="00CC0FDB" w:rsidP="00CC0FDB">
            <w:pPr>
              <w:widowControl/>
              <w:ind w:firstLineChars="200" w:firstLine="31680"/>
              <w:jc w:val="left"/>
              <w:rPr>
                <w:kern w:val="0"/>
                <w:szCs w:val="21"/>
              </w:rPr>
            </w:pPr>
          </w:p>
        </w:tc>
        <w:tc>
          <w:tcPr>
            <w:tcW w:w="2700" w:type="dxa"/>
            <w:gridSpan w:val="4"/>
            <w:vMerge w:val="restart"/>
            <w:vAlign w:val="center"/>
          </w:tcPr>
          <w:p w:rsidR="00CC0FDB" w:rsidRDefault="00CC0FDB" w:rsidP="00CC0FDB">
            <w:pPr>
              <w:pStyle w:val="BodyText"/>
              <w:spacing w:line="240" w:lineRule="exact"/>
              <w:ind w:firstLineChars="450" w:firstLine="31680"/>
              <w:rPr>
                <w:bCs/>
                <w:sz w:val="21"/>
              </w:rPr>
            </w:pPr>
            <w:r>
              <w:rPr>
                <w:rFonts w:hint="eastAsia"/>
                <w:bCs/>
                <w:sz w:val="21"/>
              </w:rPr>
              <w:t>不限</w:t>
            </w:r>
          </w:p>
        </w:tc>
        <w:tc>
          <w:tcPr>
            <w:tcW w:w="2635" w:type="dxa"/>
            <w:gridSpan w:val="3"/>
            <w:vAlign w:val="center"/>
          </w:tcPr>
          <w:p w:rsidR="00CC0FDB" w:rsidRDefault="00CC0FDB">
            <w:pPr>
              <w:pStyle w:val="BodyText"/>
              <w:spacing w:line="240" w:lineRule="exact"/>
              <w:rPr>
                <w:bCs/>
                <w:sz w:val="21"/>
              </w:rPr>
            </w:pPr>
            <w:r>
              <w:rPr>
                <w:rFonts w:hint="eastAsia"/>
                <w:bCs/>
                <w:sz w:val="21"/>
              </w:rPr>
              <w:t>大学专科</w:t>
            </w:r>
          </w:p>
        </w:tc>
        <w:tc>
          <w:tcPr>
            <w:tcW w:w="2855" w:type="dxa"/>
            <w:gridSpan w:val="2"/>
            <w:vAlign w:val="center"/>
          </w:tcPr>
          <w:p w:rsidR="00CC0FDB" w:rsidRDefault="00CC0FDB">
            <w:pPr>
              <w:pStyle w:val="BodyText"/>
              <w:spacing w:line="240" w:lineRule="exact"/>
              <w:rPr>
                <w:bCs/>
                <w:sz w:val="21"/>
              </w:rPr>
            </w:pPr>
            <w:r>
              <w:rPr>
                <w:rFonts w:hint="eastAsia"/>
                <w:bCs/>
                <w:sz w:val="21"/>
              </w:rPr>
              <w:t>从事经济工作满</w:t>
            </w:r>
            <w:r>
              <w:rPr>
                <w:bCs/>
                <w:sz w:val="21"/>
              </w:rPr>
              <w:t>6</w:t>
            </w:r>
            <w:r>
              <w:rPr>
                <w:rFonts w:hint="eastAsia"/>
                <w:bCs/>
                <w:sz w:val="21"/>
              </w:rPr>
              <w:t>年</w:t>
            </w:r>
          </w:p>
        </w:tc>
      </w:tr>
      <w:tr w:rsidR="00CC0FDB">
        <w:trPr>
          <w:trHeight w:hRule="exact" w:val="567"/>
          <w:jc w:val="center"/>
        </w:trPr>
        <w:tc>
          <w:tcPr>
            <w:tcW w:w="841" w:type="dxa"/>
            <w:vMerge/>
          </w:tcPr>
          <w:p w:rsidR="00CC0FDB" w:rsidRDefault="00CC0FDB">
            <w:pPr>
              <w:rPr>
                <w:b/>
                <w:szCs w:val="21"/>
              </w:rPr>
            </w:pPr>
          </w:p>
        </w:tc>
        <w:tc>
          <w:tcPr>
            <w:tcW w:w="957" w:type="dxa"/>
            <w:gridSpan w:val="2"/>
            <w:vMerge/>
            <w:vAlign w:val="center"/>
          </w:tcPr>
          <w:p w:rsidR="00CC0FDB" w:rsidRDefault="00CC0FDB" w:rsidP="00CC0FDB">
            <w:pPr>
              <w:widowControl/>
              <w:ind w:leftChars="100" w:left="31680"/>
              <w:rPr>
                <w:szCs w:val="21"/>
              </w:rPr>
            </w:pPr>
          </w:p>
        </w:tc>
        <w:tc>
          <w:tcPr>
            <w:tcW w:w="2700" w:type="dxa"/>
            <w:gridSpan w:val="4"/>
            <w:vMerge/>
            <w:vAlign w:val="center"/>
          </w:tcPr>
          <w:p w:rsidR="00CC0FDB" w:rsidRDefault="00CC0FDB">
            <w:pPr>
              <w:pStyle w:val="BodyText"/>
              <w:spacing w:line="240" w:lineRule="exact"/>
              <w:rPr>
                <w:bCs/>
                <w:sz w:val="21"/>
              </w:rPr>
            </w:pPr>
          </w:p>
        </w:tc>
        <w:tc>
          <w:tcPr>
            <w:tcW w:w="2635" w:type="dxa"/>
            <w:gridSpan w:val="3"/>
            <w:vAlign w:val="center"/>
          </w:tcPr>
          <w:p w:rsidR="00CC0FDB" w:rsidRDefault="00CC0FDB">
            <w:pPr>
              <w:pStyle w:val="BodyText"/>
              <w:spacing w:line="240" w:lineRule="exact"/>
              <w:rPr>
                <w:bCs/>
                <w:sz w:val="21"/>
              </w:rPr>
            </w:pPr>
            <w:r>
              <w:rPr>
                <w:rFonts w:hint="eastAsia"/>
                <w:bCs/>
                <w:sz w:val="21"/>
              </w:rPr>
              <w:t>大学本科</w:t>
            </w:r>
          </w:p>
        </w:tc>
        <w:tc>
          <w:tcPr>
            <w:tcW w:w="2855" w:type="dxa"/>
            <w:gridSpan w:val="2"/>
            <w:vAlign w:val="center"/>
          </w:tcPr>
          <w:p w:rsidR="00CC0FDB" w:rsidRDefault="00CC0FDB">
            <w:pPr>
              <w:pStyle w:val="BodyText"/>
              <w:spacing w:line="240" w:lineRule="exact"/>
              <w:rPr>
                <w:bCs/>
                <w:sz w:val="21"/>
              </w:rPr>
            </w:pPr>
            <w:r>
              <w:rPr>
                <w:rFonts w:hint="eastAsia"/>
                <w:bCs/>
                <w:sz w:val="21"/>
              </w:rPr>
              <w:t>从事经济工作满</w:t>
            </w:r>
            <w:r>
              <w:rPr>
                <w:bCs/>
                <w:sz w:val="21"/>
              </w:rPr>
              <w:t>4</w:t>
            </w:r>
            <w:r>
              <w:rPr>
                <w:rFonts w:hint="eastAsia"/>
                <w:bCs/>
                <w:sz w:val="21"/>
              </w:rPr>
              <w:t>年</w:t>
            </w:r>
          </w:p>
        </w:tc>
      </w:tr>
      <w:tr w:rsidR="00CC0FDB">
        <w:trPr>
          <w:trHeight w:hRule="exact" w:val="567"/>
          <w:jc w:val="center"/>
        </w:trPr>
        <w:tc>
          <w:tcPr>
            <w:tcW w:w="841" w:type="dxa"/>
            <w:vMerge/>
          </w:tcPr>
          <w:p w:rsidR="00CC0FDB" w:rsidRDefault="00CC0FDB">
            <w:pPr>
              <w:rPr>
                <w:b/>
                <w:szCs w:val="21"/>
              </w:rPr>
            </w:pPr>
          </w:p>
        </w:tc>
        <w:tc>
          <w:tcPr>
            <w:tcW w:w="957" w:type="dxa"/>
            <w:gridSpan w:val="2"/>
            <w:vMerge/>
            <w:vAlign w:val="center"/>
          </w:tcPr>
          <w:p w:rsidR="00CC0FDB" w:rsidRDefault="00CC0FDB" w:rsidP="00CC0FDB">
            <w:pPr>
              <w:widowControl/>
              <w:ind w:leftChars="100" w:left="31680"/>
              <w:rPr>
                <w:szCs w:val="21"/>
              </w:rPr>
            </w:pPr>
          </w:p>
        </w:tc>
        <w:tc>
          <w:tcPr>
            <w:tcW w:w="2700" w:type="dxa"/>
            <w:gridSpan w:val="4"/>
            <w:vMerge/>
            <w:vAlign w:val="center"/>
          </w:tcPr>
          <w:p w:rsidR="00CC0FDB" w:rsidRDefault="00CC0FDB" w:rsidP="00CC0FDB">
            <w:pPr>
              <w:widowControl/>
              <w:ind w:leftChars="100" w:left="31680"/>
              <w:rPr>
                <w:szCs w:val="21"/>
              </w:rPr>
            </w:pPr>
          </w:p>
        </w:tc>
        <w:tc>
          <w:tcPr>
            <w:tcW w:w="2635" w:type="dxa"/>
            <w:gridSpan w:val="3"/>
            <w:vAlign w:val="center"/>
          </w:tcPr>
          <w:p w:rsidR="00CC0FDB" w:rsidRDefault="00CC0FDB">
            <w:pPr>
              <w:pStyle w:val="BodyText"/>
              <w:spacing w:line="240" w:lineRule="exact"/>
              <w:rPr>
                <w:bCs/>
                <w:sz w:val="21"/>
              </w:rPr>
            </w:pPr>
            <w:r>
              <w:rPr>
                <w:rFonts w:hint="eastAsia"/>
                <w:bCs/>
                <w:sz w:val="21"/>
              </w:rPr>
              <w:t>双学士或研究生班</w:t>
            </w:r>
          </w:p>
        </w:tc>
        <w:tc>
          <w:tcPr>
            <w:tcW w:w="2855" w:type="dxa"/>
            <w:gridSpan w:val="2"/>
            <w:vAlign w:val="center"/>
          </w:tcPr>
          <w:p w:rsidR="00CC0FDB" w:rsidRDefault="00CC0FDB">
            <w:pPr>
              <w:pStyle w:val="BodyText"/>
              <w:spacing w:line="240" w:lineRule="exact"/>
              <w:rPr>
                <w:bCs/>
                <w:sz w:val="21"/>
              </w:rPr>
            </w:pPr>
            <w:r>
              <w:rPr>
                <w:rFonts w:hint="eastAsia"/>
                <w:bCs/>
                <w:sz w:val="21"/>
              </w:rPr>
              <w:t>从事经济工作满</w:t>
            </w:r>
            <w:r>
              <w:rPr>
                <w:bCs/>
                <w:sz w:val="21"/>
              </w:rPr>
              <w:t>2</w:t>
            </w:r>
            <w:r>
              <w:rPr>
                <w:rFonts w:hint="eastAsia"/>
                <w:bCs/>
                <w:sz w:val="21"/>
              </w:rPr>
              <w:t>年</w:t>
            </w:r>
          </w:p>
        </w:tc>
      </w:tr>
      <w:tr w:rsidR="00CC0FDB">
        <w:trPr>
          <w:trHeight w:hRule="exact" w:val="567"/>
          <w:jc w:val="center"/>
        </w:trPr>
        <w:tc>
          <w:tcPr>
            <w:tcW w:w="841" w:type="dxa"/>
            <w:vMerge/>
          </w:tcPr>
          <w:p w:rsidR="00CC0FDB" w:rsidRDefault="00CC0FDB">
            <w:pPr>
              <w:rPr>
                <w:b/>
                <w:szCs w:val="21"/>
              </w:rPr>
            </w:pPr>
          </w:p>
        </w:tc>
        <w:tc>
          <w:tcPr>
            <w:tcW w:w="957" w:type="dxa"/>
            <w:gridSpan w:val="2"/>
            <w:vMerge/>
            <w:vAlign w:val="center"/>
          </w:tcPr>
          <w:p w:rsidR="00CC0FDB" w:rsidRDefault="00CC0FDB" w:rsidP="00CC0FDB">
            <w:pPr>
              <w:widowControl/>
              <w:ind w:leftChars="100" w:left="31680"/>
              <w:rPr>
                <w:szCs w:val="21"/>
              </w:rPr>
            </w:pPr>
          </w:p>
        </w:tc>
        <w:tc>
          <w:tcPr>
            <w:tcW w:w="2700" w:type="dxa"/>
            <w:gridSpan w:val="4"/>
            <w:vMerge/>
            <w:vAlign w:val="center"/>
          </w:tcPr>
          <w:p w:rsidR="00CC0FDB" w:rsidRDefault="00CC0FDB" w:rsidP="00CC0FDB">
            <w:pPr>
              <w:widowControl/>
              <w:ind w:leftChars="100" w:left="31680"/>
              <w:rPr>
                <w:szCs w:val="21"/>
              </w:rPr>
            </w:pPr>
          </w:p>
        </w:tc>
        <w:tc>
          <w:tcPr>
            <w:tcW w:w="2635" w:type="dxa"/>
            <w:gridSpan w:val="3"/>
            <w:vAlign w:val="center"/>
          </w:tcPr>
          <w:p w:rsidR="00CC0FDB" w:rsidRDefault="00CC0FDB">
            <w:pPr>
              <w:pStyle w:val="BodyText"/>
              <w:spacing w:line="240" w:lineRule="exact"/>
              <w:rPr>
                <w:bCs/>
                <w:sz w:val="21"/>
              </w:rPr>
            </w:pPr>
            <w:r>
              <w:rPr>
                <w:rFonts w:hint="eastAsia"/>
                <w:bCs/>
                <w:sz w:val="21"/>
              </w:rPr>
              <w:t>硕士学位</w:t>
            </w:r>
          </w:p>
        </w:tc>
        <w:tc>
          <w:tcPr>
            <w:tcW w:w="2855" w:type="dxa"/>
            <w:gridSpan w:val="2"/>
            <w:vAlign w:val="center"/>
          </w:tcPr>
          <w:p w:rsidR="00CC0FDB" w:rsidRDefault="00CC0FDB">
            <w:pPr>
              <w:pStyle w:val="BodyText"/>
              <w:spacing w:line="240" w:lineRule="exact"/>
              <w:rPr>
                <w:bCs/>
                <w:sz w:val="21"/>
              </w:rPr>
            </w:pPr>
            <w:r>
              <w:rPr>
                <w:rFonts w:hint="eastAsia"/>
                <w:bCs/>
                <w:sz w:val="21"/>
              </w:rPr>
              <w:t>从事经济工作满</w:t>
            </w:r>
            <w:r>
              <w:rPr>
                <w:bCs/>
                <w:sz w:val="21"/>
              </w:rPr>
              <w:t>1</w:t>
            </w:r>
            <w:r>
              <w:rPr>
                <w:rFonts w:hint="eastAsia"/>
                <w:bCs/>
                <w:sz w:val="21"/>
              </w:rPr>
              <w:t>年</w:t>
            </w:r>
          </w:p>
        </w:tc>
      </w:tr>
      <w:tr w:rsidR="00CC0FDB">
        <w:trPr>
          <w:trHeight w:hRule="exact" w:val="567"/>
          <w:jc w:val="center"/>
        </w:trPr>
        <w:tc>
          <w:tcPr>
            <w:tcW w:w="841" w:type="dxa"/>
            <w:vMerge/>
          </w:tcPr>
          <w:p w:rsidR="00CC0FDB" w:rsidRDefault="00CC0FDB">
            <w:pPr>
              <w:rPr>
                <w:b/>
                <w:szCs w:val="21"/>
              </w:rPr>
            </w:pPr>
          </w:p>
        </w:tc>
        <w:tc>
          <w:tcPr>
            <w:tcW w:w="957" w:type="dxa"/>
            <w:gridSpan w:val="2"/>
            <w:vMerge/>
            <w:vAlign w:val="center"/>
          </w:tcPr>
          <w:p w:rsidR="00CC0FDB" w:rsidRDefault="00CC0FDB" w:rsidP="00CC0FDB">
            <w:pPr>
              <w:widowControl/>
              <w:ind w:leftChars="100" w:left="31680"/>
              <w:rPr>
                <w:szCs w:val="21"/>
              </w:rPr>
            </w:pPr>
          </w:p>
        </w:tc>
        <w:tc>
          <w:tcPr>
            <w:tcW w:w="2700" w:type="dxa"/>
            <w:gridSpan w:val="4"/>
            <w:vMerge/>
            <w:vAlign w:val="center"/>
          </w:tcPr>
          <w:p w:rsidR="00CC0FDB" w:rsidRDefault="00CC0FDB" w:rsidP="00CC0FDB">
            <w:pPr>
              <w:widowControl/>
              <w:ind w:leftChars="100" w:left="31680"/>
              <w:rPr>
                <w:szCs w:val="21"/>
              </w:rPr>
            </w:pPr>
          </w:p>
        </w:tc>
        <w:tc>
          <w:tcPr>
            <w:tcW w:w="2635" w:type="dxa"/>
            <w:gridSpan w:val="3"/>
            <w:vAlign w:val="center"/>
          </w:tcPr>
          <w:p w:rsidR="00CC0FDB" w:rsidRDefault="00CC0FDB">
            <w:pPr>
              <w:pStyle w:val="BodyText"/>
              <w:spacing w:line="240" w:lineRule="exact"/>
              <w:rPr>
                <w:bCs/>
                <w:sz w:val="21"/>
              </w:rPr>
            </w:pPr>
            <w:r>
              <w:rPr>
                <w:rFonts w:hint="eastAsia"/>
                <w:bCs/>
                <w:sz w:val="21"/>
              </w:rPr>
              <w:t>博士学位</w:t>
            </w:r>
          </w:p>
        </w:tc>
        <w:tc>
          <w:tcPr>
            <w:tcW w:w="2855" w:type="dxa"/>
            <w:gridSpan w:val="2"/>
            <w:vAlign w:val="center"/>
          </w:tcPr>
          <w:p w:rsidR="00CC0FDB" w:rsidRDefault="00CC0FDB">
            <w:pPr>
              <w:pStyle w:val="BodyText"/>
              <w:spacing w:line="240" w:lineRule="exact"/>
              <w:rPr>
                <w:bCs/>
                <w:sz w:val="21"/>
              </w:rPr>
            </w:pPr>
            <w:r>
              <w:rPr>
                <w:rFonts w:hint="eastAsia"/>
                <w:bCs/>
                <w:sz w:val="21"/>
              </w:rPr>
              <w:t>不限</w:t>
            </w:r>
          </w:p>
        </w:tc>
      </w:tr>
      <w:tr w:rsidR="00CC0FDB">
        <w:trPr>
          <w:trHeight w:hRule="exact" w:val="567"/>
          <w:jc w:val="center"/>
        </w:trPr>
        <w:tc>
          <w:tcPr>
            <w:tcW w:w="841" w:type="dxa"/>
            <w:vMerge/>
          </w:tcPr>
          <w:p w:rsidR="00CC0FDB" w:rsidRDefault="00CC0FDB">
            <w:pPr>
              <w:rPr>
                <w:b/>
                <w:szCs w:val="21"/>
              </w:rPr>
            </w:pPr>
          </w:p>
        </w:tc>
        <w:tc>
          <w:tcPr>
            <w:tcW w:w="957" w:type="dxa"/>
            <w:gridSpan w:val="2"/>
            <w:vAlign w:val="center"/>
          </w:tcPr>
          <w:p w:rsidR="00CC0FDB" w:rsidRDefault="00CC0FDB" w:rsidP="00CC0FDB">
            <w:pPr>
              <w:widowControl/>
              <w:ind w:leftChars="100" w:left="31680"/>
              <w:rPr>
                <w:szCs w:val="21"/>
              </w:rPr>
            </w:pPr>
            <w:r>
              <w:rPr>
                <w:rFonts w:hint="eastAsia"/>
                <w:bCs/>
              </w:rPr>
              <w:t>初级</w:t>
            </w:r>
          </w:p>
        </w:tc>
        <w:tc>
          <w:tcPr>
            <w:tcW w:w="2700" w:type="dxa"/>
            <w:gridSpan w:val="4"/>
            <w:vAlign w:val="center"/>
          </w:tcPr>
          <w:p w:rsidR="00CC0FDB" w:rsidRDefault="00CC0FDB" w:rsidP="00CC0FDB">
            <w:pPr>
              <w:widowControl/>
              <w:ind w:leftChars="100" w:left="31680" w:firstLineChars="350" w:firstLine="31680"/>
              <w:rPr>
                <w:szCs w:val="21"/>
              </w:rPr>
            </w:pPr>
            <w:r>
              <w:rPr>
                <w:rFonts w:hint="eastAsia"/>
                <w:bCs/>
              </w:rPr>
              <w:t>不限</w:t>
            </w:r>
          </w:p>
        </w:tc>
        <w:tc>
          <w:tcPr>
            <w:tcW w:w="2635" w:type="dxa"/>
            <w:gridSpan w:val="3"/>
            <w:vAlign w:val="center"/>
          </w:tcPr>
          <w:p w:rsidR="00CC0FDB" w:rsidRDefault="00CC0FDB">
            <w:pPr>
              <w:pStyle w:val="BodyText"/>
              <w:spacing w:line="240" w:lineRule="exact"/>
              <w:rPr>
                <w:bCs/>
                <w:sz w:val="21"/>
              </w:rPr>
            </w:pPr>
            <w:r>
              <w:rPr>
                <w:rFonts w:hint="eastAsia"/>
                <w:bCs/>
                <w:sz w:val="21"/>
              </w:rPr>
              <w:t>高中以上</w:t>
            </w:r>
          </w:p>
        </w:tc>
        <w:tc>
          <w:tcPr>
            <w:tcW w:w="2855" w:type="dxa"/>
            <w:gridSpan w:val="2"/>
            <w:vAlign w:val="center"/>
          </w:tcPr>
          <w:p w:rsidR="00CC0FDB" w:rsidRDefault="00CC0FDB">
            <w:pPr>
              <w:pStyle w:val="BodyText"/>
              <w:spacing w:line="240" w:lineRule="exact"/>
              <w:rPr>
                <w:bCs/>
                <w:sz w:val="21"/>
              </w:rPr>
            </w:pPr>
            <w:r>
              <w:rPr>
                <w:rFonts w:hint="eastAsia"/>
                <w:bCs/>
                <w:sz w:val="21"/>
              </w:rPr>
              <w:t>从事专业工作满</w:t>
            </w:r>
            <w:r>
              <w:rPr>
                <w:bCs/>
                <w:sz w:val="21"/>
              </w:rPr>
              <w:t>1</w:t>
            </w:r>
            <w:r>
              <w:rPr>
                <w:rFonts w:hint="eastAsia"/>
                <w:bCs/>
                <w:sz w:val="21"/>
              </w:rPr>
              <w:t>年</w:t>
            </w:r>
          </w:p>
        </w:tc>
      </w:tr>
      <w:tr w:rsidR="00CC0FDB">
        <w:trPr>
          <w:trHeight w:hRule="exact" w:val="2969"/>
          <w:jc w:val="center"/>
        </w:trPr>
        <w:tc>
          <w:tcPr>
            <w:tcW w:w="841" w:type="dxa"/>
            <w:vMerge/>
          </w:tcPr>
          <w:p w:rsidR="00CC0FDB" w:rsidRDefault="00CC0FDB">
            <w:pPr>
              <w:rPr>
                <w:b/>
                <w:szCs w:val="21"/>
              </w:rPr>
            </w:pPr>
          </w:p>
        </w:tc>
        <w:tc>
          <w:tcPr>
            <w:tcW w:w="9147" w:type="dxa"/>
            <w:gridSpan w:val="11"/>
            <w:vAlign w:val="center"/>
          </w:tcPr>
          <w:p w:rsidR="00CC0FDB" w:rsidRDefault="00CC0FDB" w:rsidP="00CC0FDB">
            <w:pPr>
              <w:tabs>
                <w:tab w:val="left" w:pos="6072"/>
              </w:tabs>
              <w:ind w:firstLineChars="150" w:firstLine="31680"/>
              <w:rPr>
                <w:szCs w:val="21"/>
              </w:rPr>
            </w:pPr>
            <w:r>
              <w:rPr>
                <w:rFonts w:hint="eastAsia"/>
                <w:szCs w:val="21"/>
              </w:rPr>
              <w:t>一、考试成绩实行非滚动管理。报考人员须在当年通过应试科目，方可取得资格证书。</w:t>
            </w:r>
          </w:p>
          <w:p w:rsidR="00CC0FDB" w:rsidRDefault="00CC0FDB" w:rsidP="00CC0FDB">
            <w:pPr>
              <w:tabs>
                <w:tab w:val="left" w:pos="6072"/>
              </w:tabs>
              <w:ind w:firstLineChars="150" w:firstLine="31680"/>
              <w:rPr>
                <w:szCs w:val="21"/>
              </w:rPr>
            </w:pPr>
            <w:r>
              <w:rPr>
                <w:rFonts w:hint="eastAsia"/>
                <w:szCs w:val="21"/>
              </w:rPr>
              <w:t>二、各大中专院校应届毕业生可以参加经济专业初级资格考试报名。对报名时尚未获得学历证书的应届毕业生，可持能够证明其在考试年度可毕业的有效证件（如学生证等）和学校出具的应届毕业证明参加考试报名（限</w:t>
            </w:r>
            <w:r>
              <w:rPr>
                <w:szCs w:val="21"/>
              </w:rPr>
              <w:t>2019</w:t>
            </w:r>
            <w:r>
              <w:rPr>
                <w:rFonts w:hint="eastAsia"/>
                <w:szCs w:val="21"/>
              </w:rPr>
              <w:t>届应届毕业生）。</w:t>
            </w:r>
          </w:p>
        </w:tc>
      </w:tr>
    </w:tbl>
    <w:p w:rsidR="00CC0FDB" w:rsidRDefault="00CC0FDB" w:rsidP="00CC0FDB">
      <w:pPr>
        <w:spacing w:line="540" w:lineRule="exact"/>
        <w:ind w:firstLineChars="200" w:firstLine="31680"/>
        <w:rPr>
          <w:rFonts w:eastAsia="仿宋"/>
          <w:sz w:val="32"/>
          <w:szCs w:val="32"/>
        </w:rPr>
      </w:pPr>
    </w:p>
    <w:p w:rsidR="00CC0FDB" w:rsidRDefault="00CC0FDB"/>
    <w:sectPr w:rsidR="00CC0FDB" w:rsidSect="00396AE5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C0FDB" w:rsidRDefault="00CC0FDB" w:rsidP="00396AE5">
      <w:r>
        <w:separator/>
      </w:r>
    </w:p>
  </w:endnote>
  <w:endnote w:type="continuationSeparator" w:id="0">
    <w:p w:rsidR="00CC0FDB" w:rsidRDefault="00CC0FDB" w:rsidP="00396AE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um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C0FDB" w:rsidRDefault="00CC0FDB">
    <w:pPr>
      <w:pStyle w:val="Footer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0;margin-top:0;width:2in;height:2in;z-index:251660288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" filled="f" stroked="f" strokeweight=".5pt">
          <v:textbox style="mso-fit-shape-to-text:t" inset="0,0,0,0">
            <w:txbxContent>
              <w:p w:rsidR="00CC0FDB" w:rsidRDefault="00CC0FDB">
                <w:pPr>
                  <w:pStyle w:val="Footer"/>
                </w:pPr>
                <w:r>
                  <w:rPr>
                    <w:rFonts w:hint="eastAsia"/>
                  </w:rPr>
                  <w:t>第</w:t>
                </w:r>
                <w:r>
                  <w:t xml:space="preserve"> </w:t>
                </w:r>
                <w:fldSimple w:instr=" PAGE  \* MERGEFORMAT ">
                  <w:r>
                    <w:rPr>
                      <w:noProof/>
                    </w:rPr>
                    <w:t>4</w:t>
                  </w:r>
                </w:fldSimple>
                <w:r>
                  <w:t xml:space="preserve"> </w:t>
                </w:r>
                <w:r>
                  <w:rPr>
                    <w:rFonts w:hint="eastAsia"/>
                  </w:rPr>
                  <w:t>页</w:t>
                </w:r>
                <w:r>
                  <w:t xml:space="preserve"> </w:t>
                </w:r>
                <w:r>
                  <w:rPr>
                    <w:rFonts w:hint="eastAsia"/>
                  </w:rPr>
                  <w:t>共</w:t>
                </w:r>
                <w:r>
                  <w:t xml:space="preserve"> </w:t>
                </w:r>
                <w:fldSimple w:instr=" NUMPAGES  \* MERGEFORMAT ">
                  <w:r>
                    <w:rPr>
                      <w:noProof/>
                    </w:rPr>
                    <w:t>4</w:t>
                  </w:r>
                </w:fldSimple>
                <w:r>
                  <w:t xml:space="preserve"> </w:t>
                </w:r>
                <w:r>
                  <w:rPr>
                    <w:rFonts w:hint="eastAsia"/>
                  </w:rPr>
                  <w:t>页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C0FDB" w:rsidRDefault="00CC0FDB" w:rsidP="00396AE5">
      <w:r>
        <w:separator/>
      </w:r>
    </w:p>
  </w:footnote>
  <w:footnote w:type="continuationSeparator" w:id="0">
    <w:p w:rsidR="00CC0FDB" w:rsidRDefault="00CC0FDB" w:rsidP="00396AE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62F61FDD"/>
    <w:rsid w:val="000E173B"/>
    <w:rsid w:val="0038385A"/>
    <w:rsid w:val="00396AE5"/>
    <w:rsid w:val="009F27D3"/>
    <w:rsid w:val="00CC0FDB"/>
    <w:rsid w:val="62F61FDD"/>
    <w:rsid w:val="723470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(Web)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6AE5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rsid w:val="00396AE5"/>
    <w:rPr>
      <w:sz w:val="32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5648F3"/>
    <w:rPr>
      <w:szCs w:val="24"/>
    </w:rPr>
  </w:style>
  <w:style w:type="paragraph" w:styleId="Footer">
    <w:name w:val="footer"/>
    <w:basedOn w:val="Normal"/>
    <w:link w:val="FooterChar"/>
    <w:uiPriority w:val="99"/>
    <w:rsid w:val="00396AE5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5648F3"/>
    <w:rPr>
      <w:sz w:val="18"/>
      <w:szCs w:val="18"/>
    </w:rPr>
  </w:style>
  <w:style w:type="paragraph" w:styleId="Header">
    <w:name w:val="header"/>
    <w:basedOn w:val="Normal"/>
    <w:link w:val="HeaderChar"/>
    <w:uiPriority w:val="99"/>
    <w:rsid w:val="00396AE5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5648F3"/>
    <w:rPr>
      <w:sz w:val="18"/>
      <w:szCs w:val="18"/>
    </w:rPr>
  </w:style>
  <w:style w:type="paragraph" w:styleId="NormalWeb">
    <w:name w:val="Normal (Web)"/>
    <w:basedOn w:val="Normal"/>
    <w:uiPriority w:val="99"/>
    <w:rsid w:val="00396AE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Hyperlink">
    <w:name w:val="Hyperlink"/>
    <w:basedOn w:val="DefaultParagraphFont"/>
    <w:uiPriority w:val="99"/>
    <w:rsid w:val="00396AE5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qrc.org.cn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mohurd.gov.cn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pqrc.org.cn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</TotalTime>
  <Pages>4</Pages>
  <Words>495</Words>
  <Characters>2827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巧克力豆</dc:creator>
  <cp:keywords/>
  <dc:description/>
  <cp:lastModifiedBy>lenovo</cp:lastModifiedBy>
  <cp:revision>2</cp:revision>
  <dcterms:created xsi:type="dcterms:W3CDTF">2019-08-06T01:18:00Z</dcterms:created>
  <dcterms:modified xsi:type="dcterms:W3CDTF">2019-08-07T04:19:00Z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